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200"/>
        <w:jc w:val="center"/>
      </w:pPr>
      <w:r>
        <w:drawing>
          <wp:inline distT="0" distB="0" distL="0" distR="0">
            <wp:extent cx="685800" cy="6858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685800" cy="685800"/>
                    </a:xfrm>
                    <a:prstGeom prst="rect">
                      <a:avLst/>
                    </a:prstGeom>
                  </pic:spPr>
                </pic:pic>
              </a:graphicData>
            </a:graphic>
          </wp:inline>
        </w:drawing>
      </w:r>
    </w:p>
    <w:p>
      <w:pPr>
        <w:spacing w:after="40" w:before="0"/>
        <w:jc w:val="center"/>
      </w:pPr>
      <w:r>
        <w:rPr>
          <w:rFonts w:ascii="Garamond" w:cs="Garamond" w:eastAsia="Garamond" w:hAnsi="Garamond"/>
          <w:b w:val="false"/>
          <w:bCs w:val="false"/>
          <w:color w:val="001E64"/>
          <w:sz w:val="80"/>
          <w:szCs w:val="80"/>
        </w:rPr>
        <w:t xml:space="preserve">IBT</w:t>
      </w:r>
    </w:p>
    <w:p>
      <w:pPr>
        <w:spacing w:after="16" w:before="0"/>
        <w:jc w:val="center"/>
      </w:pPr>
      <w:r>
        <w:rPr>
          <w:rFonts w:ascii="Calibri" w:cs="Calibri" w:eastAsia="Calibri" w:hAnsi="Calibri"/>
          <w:b w:val="false"/>
          <w:bCs w:val="false"/>
          <w:color w:val="0057FF"/>
          <w:sz w:val="26"/>
          <w:szCs w:val="26"/>
        </w:rPr>
        <w:t xml:space="preserve">International Bureau of Trust</w:t>
      </w:r>
    </w:p>
    <w:p>
      <w:pPr>
        <w:spacing w:after="40" w:before="40"/>
      </w:pPr>
    </w:p>
    <w:p>
      <w:pPr>
        <w:pBdr>
          <w:bottom w:val="single" w:color="0057FF" w:sz="4" w:space="1"/>
        </w:pBdr>
        <w:spacing w:after="40" w:before="0"/>
        <w:jc w:val="center"/>
      </w:pPr>
    </w:p>
    <w:p>
      <w:pPr>
        <w:spacing w:after="40" w:before="40"/>
      </w:pPr>
    </w:p>
    <w:p>
      <w:pPr>
        <w:spacing w:after="20" w:before="0"/>
        <w:jc w:val="center"/>
      </w:pPr>
      <w:r>
        <w:rPr>
          <w:rFonts w:ascii="Garamond" w:cs="Garamond" w:eastAsia="Garamond" w:hAnsi="Garamond"/>
          <w:b w:val="false"/>
          <w:bCs w:val="false"/>
          <w:color w:val="001E64"/>
          <w:sz w:val="36"/>
          <w:szCs w:val="36"/>
        </w:rPr>
        <w:t xml:space="preserve">MASTER SPECIFICATION</w:t>
      </w:r>
    </w:p>
    <w:p>
      <w:pPr>
        <w:spacing w:after="80" w:before="0"/>
        <w:jc w:val="center"/>
      </w:pPr>
      <w:r>
        <w:rPr>
          <w:rFonts w:ascii="Calibri" w:cs="Calibri" w:eastAsia="Calibri" w:hAnsi="Calibri"/>
          <w:i/>
          <w:iCs/>
          <w:color w:val="6070A0"/>
          <w:sz w:val="20"/>
          <w:szCs w:val="20"/>
        </w:rPr>
        <w:t xml:space="preserve">INC Framework · Hypergeometric Model · Acceptance Sampling</w:t>
      </w:r>
    </w:p>
    <w:p>
      <w:pPr>
        <w:spacing w:after="40" w:before="120"/>
      </w:pPr>
    </w:p>
    <w:p>
      <w:pPr>
        <w:spacing w:after="16" w:before="0"/>
        <w:jc w:val="center"/>
      </w:pPr>
      <w:r>
        <w:rPr>
          <w:rFonts w:ascii="Calibri" w:cs="Calibri" w:eastAsia="Calibri" w:hAnsi="Calibri"/>
          <w:color w:val="2A4070"/>
          <w:sz w:val="20"/>
          <w:szCs w:val="20"/>
        </w:rPr>
        <w:t xml:space="preserve">Version 2.0  ·  March 2026</w:t>
      </w:r>
    </w:p>
    <w:p>
      <w:pPr>
        <w:spacing w:after="0" w:before="0"/>
        <w:jc w:val="center"/>
      </w:pPr>
      <w:r>
        <w:rPr>
          <w:rFonts w:ascii="Courier New" w:cs="Courier New" w:eastAsia="Courier New" w:hAnsi="Courier New"/>
          <w:color w:val="6070A0"/>
          <w:sz w:val="17"/>
          <w:szCs w:val="17"/>
        </w:rPr>
        <w:t xml:space="preserve">IBT-SPEC-v2.0  ·  ANSI/ASQ Z1.4  ·  Cochran (1977)</w:t>
      </w:r>
    </w:p>
    <w:p>
      <w:r>
        <w:br w:type="page"/>
      </w:r>
    </w:p>
    <w:p>
      <w:pPr>
        <w:shd w:fill="001E64" w:val="clear"/>
        <w:spacing w:after="200" w:before="480"/>
      </w:pPr>
      <w:r>
        <w:rPr>
          <w:rFonts w:ascii="Courier New" w:cs="Courier New" w:eastAsia="Courier New" w:hAnsi="Courier New"/>
          <w:b/>
          <w:bCs/>
          <w:color w:val="3B8BFF"/>
          <w:sz w:val="24"/>
          <w:szCs w:val="24"/>
        </w:rPr>
        <w:t xml:space="preserve">  §1  </w:t>
      </w:r>
      <w:r>
        <w:rPr>
          <w:rFonts w:ascii="Garamond" w:cs="Garamond" w:eastAsia="Garamond" w:hAnsi="Garamond"/>
          <w:b/>
          <w:bCs/>
          <w:color w:val="FFFFFF"/>
          <w:sz w:val="24"/>
          <w:szCs w:val="24"/>
        </w:rPr>
        <w:t xml:space="preserve">Purpose and Scope</w:t>
      </w:r>
      <w:r>
        <w:rPr>
          <w:rFonts w:ascii="Calibri" w:cs="Calibri" w:eastAsia="Calibri" w:hAnsi="Calibri"/>
          <w:sz w:val="24"/>
          <w:szCs w:val="24"/>
        </w:rPr>
        <w:t xml:space="preserve">  </w:t>
      </w:r>
    </w:p>
    <w:p>
      <w:pPr>
        <w:spacing w:after="60" w:before="60"/>
      </w:pPr>
      <w:r>
        <w:rPr>
          <w:rFonts w:ascii="Calibri" w:cs="Calibri" w:eastAsia="Calibri" w:hAnsi="Calibri"/>
          <w:color w:val="2A4070"/>
          <w:sz w:val="20"/>
          <w:szCs w:val="20"/>
        </w:rPr>
        <w:t xml:space="preserve">IBT (International Bureau of Trust) is a third-party certification system for businesses and freelancers. It produces a statistically defensible, independently verified signal of client satisfaction — grounded in sampling theory, resistant to manipulation, and transparent in its methodology.</w:t>
      </w:r>
    </w:p>
    <w:p>
      <w:pPr>
        <w:spacing w:after="80" w:before="80"/>
      </w:pPr>
    </w:p>
    <w:p>
      <w:pPr>
        <w:spacing w:after="60" w:before="60"/>
      </w:pPr>
      <w:r>
        <w:rPr>
          <w:rFonts w:ascii="Calibri" w:cs="Calibri" w:eastAsia="Calibri" w:hAnsi="Calibri"/>
          <w:color w:val="2A4070"/>
          <w:sz w:val="20"/>
          <w:szCs w:val="20"/>
        </w:rPr>
        <w:t xml:space="preserve">IBT does not rely on self-reported reviews, platform algorithms, or pay-to-play ranking systems. It contacts a business's actual verified client list, collects identity-confirmed responses, and applies a formal acceptance sampling model to reach a pass/fail decision with controlled statistical risk.</w:t>
      </w:r>
    </w:p>
    <w:p>
      <w:pPr>
        <w:spacing w:after="80" w:before="80"/>
      </w:pPr>
    </w:p>
    <w:p>
      <w:pPr>
        <w:spacing w:after="60" w:before="200"/>
      </w:pPr>
      <w:r>
        <w:rPr>
          <w:rFonts w:ascii="Calibri" w:cs="Calibri" w:eastAsia="Calibri" w:hAnsi="Calibri"/>
          <w:b/>
          <w:bCs/>
          <w:color w:val="001E64"/>
          <w:sz w:val="22"/>
          <w:szCs w:val="22"/>
        </w:rPr>
        <w:t xml:space="preserve">1.1  What IBT Certifies</w:t>
      </w:r>
    </w:p>
    <w:p>
      <w:pPr>
        <w:pBdr>
          <w:left w:val="single" w:color="0057FF" w:sz="6" w:space="2"/>
        </w:pBdr>
        <w:shd w:fill="EEF2FF" w:val="clear"/>
        <w:spacing w:after="80" w:before="80"/>
        <w:ind w:left="360"/>
      </w:pPr>
      <w:r>
        <w:rPr>
          <w:rFonts w:ascii="Calibri" w:cs="Calibri" w:eastAsia="Calibri" w:hAnsi="Calibri"/>
          <w:i/>
          <w:iCs/>
          <w:color w:val="2A4070"/>
          <w:sz w:val="18"/>
          <w:szCs w:val="18"/>
        </w:rPr>
        <w:t xml:space="preserve">"Among identity-verified respondents drawn from this business's confirmed client list, there is sufficient statistical evidence that the negative outcome rate is within the acceptable threshold, with controlled producer and consumer risk."</w:t>
      </w:r>
    </w:p>
    <w:p>
      <w:pPr>
        <w:spacing w:after="80" w:before="80"/>
      </w:pPr>
    </w:p>
    <w:p>
      <w:pPr>
        <w:spacing w:after="60" w:before="200"/>
      </w:pPr>
      <w:r>
        <w:rPr>
          <w:rFonts w:ascii="Calibri" w:cs="Calibri" w:eastAsia="Calibri" w:hAnsi="Calibri"/>
          <w:b/>
          <w:bCs/>
          <w:color w:val="001E64"/>
          <w:sz w:val="22"/>
          <w:szCs w:val="22"/>
        </w:rPr>
        <w:t xml:space="preserve">1.2  What IBT Does Not Certify</w:t>
      </w:r>
    </w:p>
    <w:p>
      <w:pPr>
        <w:pStyle w:val="ListParagraph"/>
        <w:numPr>
          <w:ilvl w:val="0"/>
          <w:numId w:val="2"/>
        </w:numPr>
        <w:spacing w:after="40" w:before="40"/>
      </w:pPr>
      <w:r>
        <w:rPr>
          <w:rFonts w:ascii="Calibri" w:cs="Calibri" w:eastAsia="Calibri" w:hAnsi="Calibri"/>
          <w:color w:val="2A4070"/>
          <w:sz w:val="20"/>
          <w:szCs w:val="20"/>
        </w:rPr>
        <w:t xml:space="preserve">That every client had a positive experience</w:t>
      </w:r>
    </w:p>
    <w:p>
      <w:pPr>
        <w:pStyle w:val="ListParagraph"/>
        <w:numPr>
          <w:ilvl w:val="0"/>
          <w:numId w:val="2"/>
        </w:numPr>
        <w:spacing w:after="40" w:before="40"/>
      </w:pPr>
      <w:r>
        <w:rPr>
          <w:rFonts w:ascii="Calibri" w:cs="Calibri" w:eastAsia="Calibri" w:hAnsi="Calibri"/>
          <w:color w:val="2A4070"/>
          <w:sz w:val="20"/>
          <w:szCs w:val="20"/>
        </w:rPr>
        <w:t xml:space="preserve">That a business is free from all complaints</w:t>
      </w:r>
    </w:p>
    <w:p>
      <w:pPr>
        <w:pStyle w:val="ListParagraph"/>
        <w:numPr>
          <w:ilvl w:val="0"/>
          <w:numId w:val="2"/>
        </w:numPr>
        <w:spacing w:after="40" w:before="40"/>
      </w:pPr>
      <w:r>
        <w:rPr>
          <w:rFonts w:ascii="Calibri" w:cs="Calibri" w:eastAsia="Calibri" w:hAnsi="Calibri"/>
          <w:color w:val="2A4070"/>
          <w:sz w:val="20"/>
          <w:szCs w:val="20"/>
        </w:rPr>
        <w:t xml:space="preserve">That outcomes will be consistent in future engagements</w:t>
      </w:r>
    </w:p>
    <w:p>
      <w:pPr>
        <w:pStyle w:val="ListParagraph"/>
        <w:numPr>
          <w:ilvl w:val="0"/>
          <w:numId w:val="2"/>
        </w:numPr>
        <w:spacing w:after="40" w:before="40"/>
      </w:pPr>
      <w:r>
        <w:rPr>
          <w:rFonts w:ascii="Calibri" w:cs="Calibri" w:eastAsia="Calibri" w:hAnsi="Calibri"/>
          <w:color w:val="2A4070"/>
          <w:sz w:val="20"/>
          <w:szCs w:val="20"/>
        </w:rPr>
        <w:t xml:space="preserve">Any specific performance metric or deliverable quality</w:t>
      </w:r>
    </w:p>
    <w:p>
      <w:pPr>
        <w:pBdr>
          <w:bottom w:val="single" w:color="D5DDEE" w:sz="3" w:space="1"/>
        </w:pBdr>
        <w:spacing w:after="160" w:before="160"/>
      </w:pPr>
    </w:p>
    <w:p>
      <w:pPr>
        <w:shd w:fill="001E64" w:val="clear"/>
        <w:spacing w:after="200" w:before="480"/>
      </w:pPr>
      <w:r>
        <w:rPr>
          <w:rFonts w:ascii="Courier New" w:cs="Courier New" w:eastAsia="Courier New" w:hAnsi="Courier New"/>
          <w:b/>
          <w:bCs/>
          <w:color w:val="3B8BFF"/>
          <w:sz w:val="24"/>
          <w:szCs w:val="24"/>
        </w:rPr>
        <w:t xml:space="preserve">  §2  </w:t>
      </w:r>
      <w:r>
        <w:rPr>
          <w:rFonts w:ascii="Garamond" w:cs="Garamond" w:eastAsia="Garamond" w:hAnsi="Garamond"/>
          <w:b/>
          <w:bCs/>
          <w:color w:val="FFFFFF"/>
          <w:sz w:val="24"/>
          <w:szCs w:val="24"/>
        </w:rPr>
        <w:t xml:space="preserve">Key Definitions</w:t>
      </w:r>
      <w:r>
        <w:rPr>
          <w:rFonts w:ascii="Calibri" w:cs="Calibri" w:eastAsia="Calibri" w:hAnsi="Calibri"/>
          <w:sz w:val="24"/>
          <w:szCs w:val="24"/>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rPr>
          <w:tblHeader/>
        </w:trPr>
        <w:tc>
          <w:tcPr>
            <w:tcW w:type="dxa" w:w="20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Term</w:t>
            </w:r>
          </w:p>
        </w:tc>
        <w:tc>
          <w:tcPr>
            <w:tcW w:type="dxa" w:w="736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Definition</w:t>
            </w:r>
          </w:p>
        </w:tc>
      </w:tr>
      <w:tr>
        <w:tc>
          <w:tcPr>
            <w:tcW w:type="dxa" w:w="2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N</w:t>
            </w:r>
          </w:p>
        </w:tc>
        <w:tc>
          <w:tcPr>
            <w:tcW w:type="dxa" w:w="73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Total distinct clients served during the assessment period. Determined by dual-source verification.</w:t>
            </w:r>
          </w:p>
        </w:tc>
      </w:tr>
      <w:tr>
        <w:tc>
          <w:tcPr>
            <w:tcW w:type="dxa" w:w="2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n</w:t>
            </w:r>
          </w:p>
        </w:tc>
        <w:tc>
          <w:tcPr>
            <w:tcW w:type="dxa" w:w="73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Minimum verified responses required for a conclusive decision. max(hypergeometric result, proportional floor, prior_n for renewals).</w:t>
            </w:r>
          </w:p>
        </w:tc>
      </w:tr>
      <w:tr>
        <w:tc>
          <w:tcPr>
            <w:tcW w:type="dxa" w:w="2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w:t>
            </w:r>
          </w:p>
        </w:tc>
        <w:tc>
          <w:tcPr>
            <w:tcW w:type="dxa" w:w="73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Maximum verified negative responses allowable for a count-gate pass.</w:t>
            </w:r>
          </w:p>
        </w:tc>
      </w:tr>
      <w:tr>
        <w:tc>
          <w:tcPr>
            <w:tcW w:type="dxa" w:w="2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AQL</w:t>
            </w:r>
          </w:p>
        </w:tc>
        <w:tc>
          <w:tcPr>
            <w:tcW w:type="dxa" w:w="73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Acceptable Quality Level. Max dissatisfaction rate (p=0.10) at which a business should pass with probability ≥(1−α).</w:t>
            </w:r>
          </w:p>
        </w:tc>
      </w:tr>
      <w:tr>
        <w:tc>
          <w:tcPr>
            <w:tcW w:type="dxa" w:w="2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RQL</w:t>
            </w:r>
          </w:p>
        </w:tc>
        <w:tc>
          <w:tcPr>
            <w:tcW w:type="dxa" w:w="73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Rejectable Quality Level. Dissatisfaction rate (p=0.30) at which a business should fail with probability ≥(1−β).</w:t>
            </w:r>
          </w:p>
        </w:tc>
      </w:tr>
      <w:tr>
        <w:tc>
          <w:tcPr>
            <w:tcW w:type="dxa" w:w="2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α</w:t>
            </w:r>
          </w:p>
        </w:tc>
        <w:tc>
          <w:tcPr>
            <w:tcW w:type="dxa" w:w="73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Producer Risk. Probability of incorrectly failing a genuinely good business. Progressive schedule — see §5.</w:t>
            </w:r>
          </w:p>
        </w:tc>
      </w:tr>
      <w:tr>
        <w:tc>
          <w:tcPr>
            <w:tcW w:type="dxa" w:w="2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β</w:t>
            </w:r>
          </w:p>
        </w:tc>
        <w:tc>
          <w:tcPr>
            <w:tcW w:type="dxa" w:w="73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Consumer Risk. Probability of incorrectly passing a genuinely poor business. Symmetric with α.</w:t>
            </w:r>
          </w:p>
        </w:tc>
      </w:tr>
      <w:tr>
        <w:tc>
          <w:tcPr>
            <w:tcW w:type="dxa" w:w="2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Backstop Gate</w:t>
            </w:r>
          </w:p>
        </w:tc>
        <w:tc>
          <w:tcPr>
            <w:tcW w:type="dxa" w:w="73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Hard fail: if verified negatives ≥ ⌈0.10 × N⌉, the assessment fails regardless of all other gates.</w:t>
            </w:r>
          </w:p>
        </w:tc>
      </w:tr>
      <w:tr>
        <w:tc>
          <w:tcPr>
            <w:tcW w:type="dxa" w:w="2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Count Gate</w:t>
            </w:r>
          </w:p>
        </w:tc>
        <w:tc>
          <w:tcPr>
            <w:tcW w:type="dxa" w:w="73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Pass condition: verified negatives ≤ c.</w:t>
            </w:r>
          </w:p>
        </w:tc>
      </w:tr>
      <w:tr>
        <w:tc>
          <w:tcPr>
            <w:tcW w:type="dxa" w:w="2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Ratio Gate</w:t>
            </w:r>
          </w:p>
        </w:tc>
        <w:tc>
          <w:tcPr>
            <w:tcW w:type="dxa" w:w="73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Secondary pass (activates when n ≥ 20): negative ratio among responses ≤ 10%.</w:t>
            </w:r>
          </w:p>
        </w:tc>
      </w:tr>
      <w:tr>
        <w:tc>
          <w:tcPr>
            <w:tcW w:type="dxa" w:w="2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Proportional Floor</w:t>
            </w:r>
          </w:p>
        </w:tc>
        <w:tc>
          <w:tcPr>
            <w:tcW w:type="dxa" w:w="73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Minimum sample size as % of N, applied when N &gt; 500.</w:t>
            </w:r>
          </w:p>
        </w:tc>
      </w:tr>
      <w:tr>
        <w:tc>
          <w:tcPr>
            <w:tcW w:type="dxa" w:w="2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Monotonicity</w:t>
            </w:r>
          </w:p>
        </w:tc>
        <w:tc>
          <w:tcPr>
            <w:tcW w:type="dxa" w:w="73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n can never decrease as N increases. Enforced by carrying prior_n forward on renewal.</w:t>
            </w:r>
          </w:p>
        </w:tc>
      </w:tr>
    </w:tbl>
    <w:p>
      <w:pPr>
        <w:pBdr>
          <w:bottom w:val="single" w:color="D5DDEE" w:sz="3" w:space="1"/>
        </w:pBdr>
        <w:spacing w:after="160" w:before="160"/>
      </w:pPr>
    </w:p>
    <w:p>
      <w:pPr>
        <w:shd w:fill="001E64" w:val="clear"/>
        <w:spacing w:after="200" w:before="480"/>
      </w:pPr>
      <w:r>
        <w:rPr>
          <w:rFonts w:ascii="Courier New" w:cs="Courier New" w:eastAsia="Courier New" w:hAnsi="Courier New"/>
          <w:b/>
          <w:bCs/>
          <w:color w:val="3B8BFF"/>
          <w:sz w:val="24"/>
          <w:szCs w:val="24"/>
        </w:rPr>
        <w:t xml:space="preserve">  §3  </w:t>
      </w:r>
      <w:r>
        <w:rPr>
          <w:rFonts w:ascii="Garamond" w:cs="Garamond" w:eastAsia="Garamond" w:hAnsi="Garamond"/>
          <w:b/>
          <w:bCs/>
          <w:color w:val="FFFFFF"/>
          <w:sz w:val="24"/>
          <w:szCs w:val="24"/>
        </w:rPr>
        <w:t xml:space="preserve">INC Certification Framework</w:t>
      </w:r>
      <w:r>
        <w:rPr>
          <w:rFonts w:ascii="Calibri" w:cs="Calibri" w:eastAsia="Calibri" w:hAnsi="Calibri"/>
          <w:sz w:val="24"/>
          <w:szCs w:val="24"/>
        </w:rPr>
        <w:t xml:space="preserve">  </w:t>
      </w:r>
    </w:p>
    <w:p>
      <w:pPr>
        <w:spacing w:after="60" w:before="120"/>
      </w:pPr>
      <w:r>
        <w:rPr>
          <w:rFonts w:ascii="Calibri" w:cs="Calibri" w:eastAsia="Calibri" w:hAnsi="Calibri"/>
          <w:color w:val="0057FF"/>
          <w:sz w:val="17"/>
          <w:szCs w:val="17"/>
        </w:rPr>
        <w:t xml:space="preserve">— </w:t>
      </w:r>
      <w:r>
        <w:rPr>
          <w:rFonts w:ascii="Calibri" w:cs="Calibri" w:eastAsia="Calibri" w:hAnsi="Calibri"/>
          <w:b/>
          <w:bCs/>
          <w:color w:val="0057FF"/>
          <w:sz w:val="17"/>
          <w:szCs w:val="17"/>
        </w:rPr>
        <w:t xml:space="preserve">INDUSTRY IMPACT (I)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5560"/>
      </w:tblGrid>
      <w:tr>
        <w:trPr>
          <w:tblHeader/>
        </w:trPr>
        <w:tc>
          <w:tcPr>
            <w:tcW w:type="dxa" w:w="22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Tier</w:t>
            </w:r>
          </w:p>
        </w:tc>
        <w:tc>
          <w:tcPr>
            <w:tcW w:type="dxa" w:w="16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Multiplier</w:t>
            </w:r>
          </w:p>
        </w:tc>
        <w:tc>
          <w:tcPr>
            <w:tcW w:type="dxa" w:w="556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Examples</w:t>
            </w:r>
          </w:p>
        </w:tc>
      </w:tr>
      <w:tr>
        <w:tc>
          <w:tcPr>
            <w:tcW w:type="dxa" w:w="22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Expressive</w:t>
            </w:r>
          </w:p>
        </w:tc>
        <w:tc>
          <w:tcPr>
            <w:tcW w:type="dxa" w:w="1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55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Creative services, design, photography, coaching</w:t>
            </w:r>
          </w:p>
        </w:tc>
      </w:tr>
      <w:tr>
        <w:tc>
          <w:tcPr>
            <w:tcW w:type="dxa" w:w="22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Generative</w:t>
            </w:r>
          </w:p>
        </w:tc>
        <w:tc>
          <w:tcPr>
            <w:tcW w:type="dxa" w:w="1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1.5×</w:t>
            </w:r>
          </w:p>
        </w:tc>
        <w:tc>
          <w:tcPr>
            <w:tcW w:type="dxa" w:w="55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Consulting, sales, marketing, real estate, recruiting</w:t>
            </w:r>
          </w:p>
        </w:tc>
      </w:tr>
      <w:tr>
        <w:tc>
          <w:tcPr>
            <w:tcW w:type="dxa" w:w="22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Fiduciary</w:t>
            </w:r>
          </w:p>
        </w:tc>
        <w:tc>
          <w:tcPr>
            <w:tcW w:type="dxa" w:w="1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2.0×</w:t>
            </w:r>
          </w:p>
        </w:tc>
        <w:tc>
          <w:tcPr>
            <w:tcW w:type="dxa" w:w="55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Medical, legal, financial, construction, childcare</w:t>
            </w:r>
          </w:p>
        </w:tc>
      </w:tr>
    </w:tbl>
    <w:p>
      <w:pPr>
        <w:spacing w:after="80" w:before="80"/>
      </w:pPr>
    </w:p>
    <w:p>
      <w:pPr>
        <w:spacing w:after="60" w:before="120"/>
      </w:pPr>
      <w:r>
        <w:rPr>
          <w:rFonts w:ascii="Calibri" w:cs="Calibri" w:eastAsia="Calibri" w:hAnsi="Calibri"/>
          <w:color w:val="0057FF"/>
          <w:sz w:val="17"/>
          <w:szCs w:val="17"/>
        </w:rPr>
        <w:t xml:space="preserve">— </w:t>
      </w:r>
      <w:r>
        <w:rPr>
          <w:rFonts w:ascii="Calibri" w:cs="Calibri" w:eastAsia="Calibri" w:hAnsi="Calibri"/>
          <w:b/>
          <w:bCs/>
          <w:color w:val="0057FF"/>
          <w:sz w:val="17"/>
          <w:szCs w:val="17"/>
        </w:rPr>
        <w:t xml:space="preserve">CONTRACT SIZE MULTIPLIER (C)</w:t>
      </w:r>
    </w:p>
    <w:p>
      <w:pPr>
        <w:spacing w:after="60" w:before="60"/>
      </w:pPr>
      <w:r>
        <w:rPr>
          <w:rFonts w:ascii="Calibri" w:cs="Calibri" w:eastAsia="Calibri" w:hAnsi="Calibri"/>
          <w:color w:val="2A4070"/>
          <w:sz w:val="20"/>
          <w:szCs w:val="20"/>
        </w:rPr>
        <w:t xml:space="preserve">Determined by average revenue per client over the last 12 months (Total Revenue ÷ 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500"/>
        <w:gridCol w:w="3860"/>
      </w:tblGrid>
      <w:tr>
        <w:trPr>
          <w:tblHeader/>
        </w:trPr>
        <w:tc>
          <w:tcPr>
            <w:tcW w:type="dxa" w:w="20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Band</w:t>
            </w:r>
          </w:p>
        </w:tc>
        <w:tc>
          <w:tcPr>
            <w:tcW w:type="dxa" w:w="35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Avg Revenue / Client</w:t>
            </w:r>
          </w:p>
        </w:tc>
        <w:tc>
          <w:tcPr>
            <w:tcW w:type="dxa" w:w="386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C</w:t>
            </w:r>
          </w:p>
        </w:tc>
      </w:tr>
      <w:tr>
        <w:tc>
          <w:tcPr>
            <w:tcW w:type="dxa" w:w="2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Micro</w:t>
            </w:r>
          </w:p>
        </w:tc>
        <w:tc>
          <w:tcPr>
            <w:tcW w:type="dxa" w:w="35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&lt; $500</w:t>
            </w:r>
          </w:p>
        </w:tc>
        <w:tc>
          <w:tcPr>
            <w:tcW w:type="dxa" w:w="38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0.50×</w:t>
            </w:r>
          </w:p>
        </w:tc>
      </w:tr>
      <w:tr>
        <w:tc>
          <w:tcPr>
            <w:tcW w:type="dxa" w:w="2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Small</w:t>
            </w:r>
          </w:p>
        </w:tc>
        <w:tc>
          <w:tcPr>
            <w:tcW w:type="dxa" w:w="35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$500 – $2,499</w:t>
            </w:r>
          </w:p>
        </w:tc>
        <w:tc>
          <w:tcPr>
            <w:tcW w:type="dxa" w:w="38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0.75×</w:t>
            </w:r>
          </w:p>
        </w:tc>
      </w:tr>
      <w:tr>
        <w:tc>
          <w:tcPr>
            <w:tcW w:type="dxa" w:w="2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Medium</w:t>
            </w:r>
          </w:p>
        </w:tc>
        <w:tc>
          <w:tcPr>
            <w:tcW w:type="dxa" w:w="35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$2,500 – $9,999</w:t>
            </w:r>
          </w:p>
        </w:tc>
        <w:tc>
          <w:tcPr>
            <w:tcW w:type="dxa" w:w="38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w:t>
            </w:r>
          </w:p>
        </w:tc>
      </w:tr>
      <w:tr>
        <w:tc>
          <w:tcPr>
            <w:tcW w:type="dxa" w:w="2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Large</w:t>
            </w:r>
          </w:p>
        </w:tc>
        <w:tc>
          <w:tcPr>
            <w:tcW w:type="dxa" w:w="35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$10,000 – $49,999</w:t>
            </w:r>
          </w:p>
        </w:tc>
        <w:tc>
          <w:tcPr>
            <w:tcW w:type="dxa" w:w="38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1.25×</w:t>
            </w:r>
          </w:p>
        </w:tc>
      </w:tr>
      <w:tr>
        <w:tc>
          <w:tcPr>
            <w:tcW w:type="dxa" w:w="2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Major</w:t>
            </w:r>
          </w:p>
        </w:tc>
        <w:tc>
          <w:tcPr>
            <w:tcW w:type="dxa" w:w="35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$50,000 – $249,999</w:t>
            </w:r>
          </w:p>
        </w:tc>
        <w:tc>
          <w:tcPr>
            <w:tcW w:type="dxa" w:w="38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1.50×</w:t>
            </w:r>
          </w:p>
        </w:tc>
      </w:tr>
      <w:tr>
        <w:tc>
          <w:tcPr>
            <w:tcW w:type="dxa" w:w="2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Enterprise</w:t>
            </w:r>
          </w:p>
        </w:tc>
        <w:tc>
          <w:tcPr>
            <w:tcW w:type="dxa" w:w="35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 $250,000</w:t>
            </w:r>
          </w:p>
        </w:tc>
        <w:tc>
          <w:tcPr>
            <w:tcW w:type="dxa" w:w="38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2.00×</w:t>
            </w:r>
          </w:p>
        </w:tc>
      </w:tr>
    </w:tbl>
    <w:p>
      <w:pPr>
        <w:pBdr>
          <w:bottom w:val="single" w:color="D5DDEE" w:sz="3" w:space="1"/>
        </w:pBdr>
        <w:spacing w:after="160" w:before="160"/>
      </w:pPr>
    </w:p>
    <w:p>
      <w:pPr>
        <w:shd w:fill="001E64" w:val="clear"/>
        <w:spacing w:after="200" w:before="480"/>
      </w:pPr>
      <w:r>
        <w:rPr>
          <w:rFonts w:ascii="Courier New" w:cs="Courier New" w:eastAsia="Courier New" w:hAnsi="Courier New"/>
          <w:b/>
          <w:bCs/>
          <w:color w:val="3B8BFF"/>
          <w:sz w:val="24"/>
          <w:szCs w:val="24"/>
        </w:rPr>
        <w:t xml:space="preserve">  §4  </w:t>
      </w:r>
      <w:r>
        <w:rPr>
          <w:rFonts w:ascii="Garamond" w:cs="Garamond" w:eastAsia="Garamond" w:hAnsi="Garamond"/>
          <w:b/>
          <w:bCs/>
          <w:color w:val="FFFFFF"/>
          <w:sz w:val="24"/>
          <w:szCs w:val="24"/>
        </w:rPr>
        <w:t xml:space="preserve">Statistical Model</w:t>
      </w:r>
      <w:r>
        <w:rPr>
          <w:rFonts w:ascii="Calibri" w:cs="Calibri" w:eastAsia="Calibri" w:hAnsi="Calibri"/>
          <w:sz w:val="24"/>
          <w:szCs w:val="24"/>
        </w:rPr>
        <w:t xml:space="preserve">  </w:t>
      </w:r>
    </w:p>
    <w:p>
      <w:pPr>
        <w:spacing w:after="60" w:before="200"/>
      </w:pPr>
      <w:r>
        <w:rPr>
          <w:rFonts w:ascii="Calibri" w:cs="Calibri" w:eastAsia="Calibri" w:hAnsi="Calibri"/>
          <w:b/>
          <w:bCs/>
          <w:color w:val="001E64"/>
          <w:sz w:val="22"/>
          <w:szCs w:val="22"/>
        </w:rPr>
        <w:t xml:space="preserve">4.0  Survey Instrument</w:t>
      </w:r>
    </w:p>
    <w:p>
      <w:pPr>
        <w:pBdr>
          <w:left w:val="single" w:color="0057FF" w:sz="6" w:space="2"/>
        </w:pBdr>
        <w:shd w:fill="EEF2FF" w:val="clear"/>
        <w:spacing w:after="80" w:before="80"/>
        <w:ind w:left="360"/>
      </w:pPr>
      <w:r>
        <w:rPr>
          <w:rFonts w:ascii="Calibri" w:cs="Calibri" w:eastAsia="Calibri" w:hAnsi="Calibri"/>
          <w:i/>
          <w:iCs/>
          <w:color w:val="2A4070"/>
          <w:sz w:val="18"/>
          <w:szCs w:val="18"/>
        </w:rPr>
        <w:t xml:space="preserve">"Overall, how would you describe your experience with [Business Name]?" — Response options: Positive / Negative / Neutral</w:t>
      </w:r>
    </w:p>
    <w:p>
      <w:pPr>
        <w:spacing w:after="80" w:before="80"/>
      </w:pPr>
    </w:p>
    <w:p>
      <w:pPr>
        <w:spacing w:after="60" w:before="60"/>
      </w:pPr>
      <w:r>
        <w:rPr>
          <w:rFonts w:ascii="Calibri" w:cs="Calibri" w:eastAsia="Calibri" w:hAnsi="Calibri"/>
          <w:color w:val="2A4070"/>
          <w:sz w:val="20"/>
          <w:szCs w:val="20"/>
        </w:rPr>
        <w:t xml:space="preserve">Binary framing eliminates scale interpretation variance. Neutral responses are recorded but excluded from all pass/fail calculations. Negative responses count against c, the ratio gate, and the backstop.</w:t>
      </w:r>
    </w:p>
    <w:p>
      <w:pPr>
        <w:spacing w:after="80" w:before="80"/>
      </w:pPr>
    </w:p>
    <w:p>
      <w:pPr>
        <w:spacing w:after="60" w:before="200"/>
      </w:pPr>
      <w:r>
        <w:rPr>
          <w:rFonts w:ascii="Calibri" w:cs="Calibri" w:eastAsia="Calibri" w:hAnsi="Calibri"/>
          <w:b/>
          <w:bCs/>
          <w:color w:val="001E64"/>
          <w:sz w:val="22"/>
          <w:szCs w:val="22"/>
        </w:rPr>
        <w:t xml:space="preserve">4.1  Why Hypergeometric</w:t>
      </w:r>
    </w:p>
    <w:p>
      <w:pPr>
        <w:pStyle w:val="ListParagraph"/>
        <w:numPr>
          <w:ilvl w:val="0"/>
          <w:numId w:val="2"/>
        </w:numPr>
        <w:spacing w:after="40" w:before="40"/>
      </w:pPr>
      <w:r>
        <w:rPr>
          <w:rFonts w:ascii="Calibri" w:cs="Calibri" w:eastAsia="Calibri" w:hAnsi="Calibri"/>
          <w:color w:val="2A4070"/>
          <w:sz w:val="20"/>
          <w:szCs w:val="20"/>
        </w:rPr>
        <w:t xml:space="preserve">IBT contacts the full known client list: a closed, finite population of known size N.</w:t>
      </w:r>
    </w:p>
    <w:p>
      <w:pPr>
        <w:pStyle w:val="ListParagraph"/>
        <w:numPr>
          <w:ilvl w:val="0"/>
          <w:numId w:val="2"/>
        </w:numPr>
        <w:spacing w:after="40" w:before="40"/>
      </w:pPr>
      <w:r>
        <w:rPr>
          <w:rFonts w:ascii="Calibri" w:cs="Calibri" w:eastAsia="Calibri" w:hAnsi="Calibri"/>
          <w:color w:val="2A4070"/>
          <w:sz w:val="20"/>
          <w:szCs w:val="20"/>
        </w:rPr>
        <w:t xml:space="preserve">Responses are collected without replacement: each client is contacted once.</w:t>
      </w:r>
    </w:p>
    <w:p>
      <w:pPr>
        <w:pStyle w:val="ListParagraph"/>
        <w:numPr>
          <w:ilvl w:val="0"/>
          <w:numId w:val="2"/>
        </w:numPr>
        <w:spacing w:after="40" w:before="40"/>
      </w:pPr>
      <w:r>
        <w:rPr>
          <w:rFonts w:ascii="Calibri" w:cs="Calibri" w:eastAsia="Calibri" w:hAnsi="Calibri"/>
          <w:color w:val="2A4070"/>
          <w:sz w:val="20"/>
          <w:szCs w:val="20"/>
        </w:rPr>
        <w:t xml:space="preserve">The decision is a binary accept/reject on a known lot — exactly the application class for acceptance sampling.</w:t>
      </w:r>
    </w:p>
    <w:p>
      <w:pPr>
        <w:spacing w:after="80" w:before="80"/>
      </w:pPr>
    </w:p>
    <w:p>
      <w:pPr>
        <w:spacing w:after="60" w:before="60"/>
      </w:pPr>
      <w:r>
        <w:rPr>
          <w:rFonts w:ascii="Calibri" w:cs="Calibri" w:eastAsia="Calibri" w:hAnsi="Calibri"/>
          <w:color w:val="2A4070"/>
          <w:sz w:val="20"/>
          <w:szCs w:val="20"/>
        </w:rPr>
        <w:t xml:space="preserve">Reference: Devore (9th ed.); Dodge &amp; Romig (1959); NIST Handbook §6.2.3.2.</w:t>
      </w:r>
    </w:p>
    <w:p>
      <w:pPr>
        <w:spacing w:after="80" w:before="80"/>
      </w:pPr>
    </w:p>
    <w:p>
      <w:pPr>
        <w:spacing w:after="60" w:before="200"/>
      </w:pPr>
      <w:r>
        <w:rPr>
          <w:rFonts w:ascii="Calibri" w:cs="Calibri" w:eastAsia="Calibri" w:hAnsi="Calibri"/>
          <w:b/>
          <w:bCs/>
          <w:color w:val="001E64"/>
          <w:sz w:val="22"/>
          <w:szCs w:val="22"/>
        </w:rPr>
        <w:t xml:space="preserve">4.2  Sampling Plan Algorithm</w:t>
      </w:r>
    </w:p>
    <w:p>
      <w:pPr>
        <w:pBdr>
          <w:top w:val="single" w:color="0057FF" w:sz="2" w:space="1"/>
        </w:pBdr>
        <w:shd w:fill="F0F2FA" w:val="clear"/>
        <w:spacing w:after="0" w:before="120"/>
        <w:ind w:left="360"/>
      </w:pPr>
    </w:p>
    <w:p>
      <w:pPr>
        <w:shd w:fill="F0F2FA" w:val="clear"/>
        <w:spacing w:after="0" w:before="0"/>
        <w:ind w:left="360" w:right="200"/>
      </w:pPr>
      <w:r>
        <w:rPr>
          <w:rFonts w:ascii="Courier New" w:cs="Courier New" w:eastAsia="Courier New" w:hAnsi="Courier New"/>
          <w:i/>
          <w:iCs/>
          <w:color w:val="6070A0"/>
          <w:sz w:val="18"/>
          <w:szCs w:val="18"/>
        </w:rPr>
        <w:t xml:space="preserve"># Find smallest (n, c) satisfying both OC constraints</w:t>
      </w:r>
    </w:p>
    <w:p>
      <w:pPr>
        <w:shd w:fill="F0F2FA" w:val="clear"/>
        <w:spacing w:after="0" w:before="0"/>
        <w:ind w:left="360" w:right="200"/>
      </w:pPr>
      <w:r>
        <w:rPr>
          <w:rFonts w:ascii="Courier New" w:cs="Courier New" w:eastAsia="Courier New" w:hAnsi="Courier New"/>
          <w:color w:val="001E64"/>
          <w:sz w:val="18"/>
          <w:szCs w:val="18"/>
        </w:rPr>
        <w:t xml:space="preserve">D_good = floor(AQL × N)</w:t>
      </w:r>
    </w:p>
    <w:p>
      <w:pPr>
        <w:shd w:fill="F0F2FA" w:val="clear"/>
        <w:spacing w:after="0" w:before="0"/>
        <w:ind w:left="360" w:right="200"/>
      </w:pPr>
      <w:r>
        <w:rPr>
          <w:rFonts w:ascii="Courier New" w:cs="Courier New" w:eastAsia="Courier New" w:hAnsi="Courier New"/>
          <w:color w:val="001E64"/>
          <w:sz w:val="18"/>
          <w:szCs w:val="18"/>
        </w:rPr>
        <w:t xml:space="preserve">D_bad  = ceil(RQL × N)</w:t>
      </w:r>
    </w:p>
    <w:p>
      <w:pPr>
        <w:shd w:fill="F0F2FA" w:val="clear"/>
        <w:spacing w:after="0" w:before="0"/>
        <w:ind w:left="360" w:right="200"/>
      </w:pPr>
      <w:r>
        <w:rPr>
          <w:rFonts w:ascii="Courier New" w:cs="Courier New" w:eastAsia="Courier New" w:hAnsi="Courier New"/>
          <w:color w:val="001E64"/>
          <w:sz w:val="18"/>
          <w:szCs w:val="18"/>
        </w:rPr>
        <w:t xml:space="preserve">for n in range(2, N+1):</w:t>
      </w:r>
    </w:p>
    <w:p>
      <w:pPr>
        <w:shd w:fill="F0F2FA" w:val="clear"/>
        <w:spacing w:after="0" w:before="0"/>
        <w:ind w:left="360" w:right="200"/>
      </w:pPr>
      <w:r>
        <w:rPr>
          <w:rFonts w:ascii="Courier New" w:cs="Courier New" w:eastAsia="Courier New" w:hAnsi="Courier New"/>
          <w:color w:val="001E64"/>
          <w:sz w:val="18"/>
          <w:szCs w:val="18"/>
        </w:rPr>
        <w:t xml:space="preserve">  for c in range(0, n+1):</w:t>
      </w:r>
    </w:p>
    <w:p>
      <w:pPr>
        <w:shd w:fill="F0F2FA" w:val="clear"/>
        <w:spacing w:after="0" w:before="0"/>
        <w:ind w:left="360" w:right="200"/>
      </w:pPr>
      <w:r>
        <w:rPr>
          <w:rFonts w:ascii="Courier New" w:cs="Courier New" w:eastAsia="Courier New" w:hAnsi="Courier New"/>
          <w:color w:val="001E64"/>
          <w:sz w:val="18"/>
          <w:szCs w:val="18"/>
        </w:rPr>
        <w:t xml:space="preserve">    pa_good = P(X ≤ c | N, D_good, n)</w:t>
      </w:r>
    </w:p>
    <w:p>
      <w:pPr>
        <w:shd w:fill="F0F2FA" w:val="clear"/>
        <w:spacing w:after="0" w:before="0"/>
        <w:ind w:left="360" w:right="200"/>
      </w:pPr>
      <w:r>
        <w:rPr>
          <w:rFonts w:ascii="Courier New" w:cs="Courier New" w:eastAsia="Courier New" w:hAnsi="Courier New"/>
          <w:color w:val="001E64"/>
          <w:sz w:val="18"/>
          <w:szCs w:val="18"/>
        </w:rPr>
        <w:t xml:space="preserve">    pa_bad  = P(X ≤ c | N, D_bad,  n)</w:t>
      </w:r>
    </w:p>
    <w:p>
      <w:pPr>
        <w:shd w:fill="F0F2FA" w:val="clear"/>
        <w:spacing w:after="0" w:before="0"/>
        <w:ind w:left="360" w:right="200"/>
      </w:pPr>
      <w:r>
        <w:rPr>
          <w:rFonts w:ascii="Courier New" w:cs="Courier New" w:eastAsia="Courier New" w:hAnsi="Courier New"/>
          <w:color w:val="001E64"/>
          <w:sz w:val="18"/>
          <w:szCs w:val="18"/>
        </w:rPr>
        <w:t xml:space="preserve">    if pa_good &gt;= (1−α) and pa_bad &lt;= β:</w:t>
      </w:r>
    </w:p>
    <w:p>
      <w:pPr>
        <w:shd w:fill="F0F2FA" w:val="clear"/>
        <w:spacing w:after="0" w:before="0"/>
        <w:ind w:left="360" w:right="200"/>
      </w:pPr>
      <w:r>
        <w:rPr>
          <w:rFonts w:ascii="Courier New" w:cs="Courier New" w:eastAsia="Courier New" w:hAnsi="Courier New"/>
          <w:color w:val="001E64"/>
          <w:sz w:val="18"/>
          <w:szCs w:val="18"/>
        </w:rPr>
        <w:t xml:space="preserve">      n_final = max(n, prop_floor(N), prior_n)</w:t>
      </w:r>
    </w:p>
    <w:p>
      <w:pPr>
        <w:shd w:fill="F0F2FA" w:val="clear"/>
        <w:spacing w:after="0" w:before="0"/>
        <w:ind w:left="360" w:right="200"/>
      </w:pPr>
      <w:r>
        <w:rPr>
          <w:rFonts w:ascii="Courier New" w:cs="Courier New" w:eastAsia="Courier New" w:hAnsi="Courier New"/>
          <w:color w:val="001E64"/>
          <w:sz w:val="18"/>
          <w:szCs w:val="18"/>
        </w:rPr>
        <w:t xml:space="preserve">      return n_final, c</w:t>
      </w:r>
    </w:p>
    <w:p>
      <w:pPr>
        <w:pBdr>
          <w:bottom w:val="single" w:color="0057FF" w:sz="2" w:space="1"/>
        </w:pBdr>
        <w:shd w:fill="F0F2FA" w:val="clear"/>
        <w:spacing w:after="120" w:before="0"/>
        <w:ind w:left="360"/>
      </w:pPr>
    </w:p>
    <w:p>
      <w:pPr>
        <w:spacing w:after="80" w:before="80"/>
      </w:pPr>
    </w:p>
    <w:p>
      <w:pPr>
        <w:spacing w:after="60" w:before="200"/>
      </w:pPr>
      <w:r>
        <w:rPr>
          <w:rFonts w:ascii="Calibri" w:cs="Calibri" w:eastAsia="Calibri" w:hAnsi="Calibri"/>
          <w:b/>
          <w:bCs/>
          <w:color w:val="001E64"/>
          <w:sz w:val="22"/>
          <w:szCs w:val="22"/>
        </w:rPr>
        <w:t xml:space="preserve">4.3  Proportional Floor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N Range</w:t>
            </w:r>
          </w:p>
        </w:tc>
        <w:tc>
          <w:tcPr>
            <w:tcW w:type="dxa" w:w="468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Minimum Sample Floor</w:t>
            </w:r>
          </w:p>
        </w:tc>
      </w:tr>
      <w:tr>
        <w:tc>
          <w:tcPr>
            <w:tcW w:type="dxa" w:w="46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N ≤ 500</w:t>
            </w:r>
          </w:p>
        </w:tc>
        <w:tc>
          <w:tcPr>
            <w:tcW w:type="dxa" w:w="46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None</w:t>
            </w:r>
          </w:p>
        </w:tc>
      </w:tr>
      <w:tr>
        <w:tc>
          <w:tcPr>
            <w:tcW w:type="dxa" w:w="46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501 – 10,000</w:t>
            </w:r>
          </w:p>
        </w:tc>
        <w:tc>
          <w:tcPr>
            <w:tcW w:type="dxa" w:w="46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⌈0.05 × N⌉</w:t>
            </w:r>
          </w:p>
        </w:tc>
      </w:tr>
      <w:tr>
        <w:tc>
          <w:tcPr>
            <w:tcW w:type="dxa" w:w="46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10,001 – 100,000</w:t>
            </w:r>
          </w:p>
        </w:tc>
        <w:tc>
          <w:tcPr>
            <w:tcW w:type="dxa" w:w="46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⌈0.03 × N⌉</w:t>
            </w:r>
          </w:p>
        </w:tc>
      </w:tr>
      <w:tr>
        <w:tc>
          <w:tcPr>
            <w:tcW w:type="dxa" w:w="46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&gt; 100,000</w:t>
            </w:r>
          </w:p>
        </w:tc>
        <w:tc>
          <w:tcPr>
            <w:tcW w:type="dxa" w:w="46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⌈0.01 × N⌉</w:t>
            </w:r>
          </w:p>
        </w:tc>
      </w:tr>
    </w:tbl>
    <w:p>
      <w:pPr>
        <w:spacing w:after="80" w:before="80"/>
      </w:pPr>
    </w:p>
    <w:p>
      <w:pPr>
        <w:spacing w:after="60" w:before="200"/>
      </w:pPr>
      <w:r>
        <w:rPr>
          <w:rFonts w:ascii="Calibri" w:cs="Calibri" w:eastAsia="Calibri" w:hAnsi="Calibri"/>
          <w:b/>
          <w:bCs/>
          <w:color w:val="001E64"/>
          <w:sz w:val="22"/>
          <w:szCs w:val="22"/>
        </w:rPr>
        <w:t xml:space="preserve">4.4  Monotonicity</w:t>
      </w:r>
    </w:p>
    <w:p>
      <w:pPr>
        <w:spacing w:after="60" w:before="60"/>
      </w:pPr>
      <w:r>
        <w:rPr>
          <w:rFonts w:ascii="Calibri" w:cs="Calibri" w:eastAsia="Calibri" w:hAnsi="Calibri"/>
          <w:color w:val="2A4070"/>
          <w:sz w:val="20"/>
          <w:szCs w:val="20"/>
        </w:rPr>
        <w:t xml:space="preserve">On renewal: n_final = max(hypergeometric result, proportional floor, prior_n). A business cannot lower its evidence requirement by serving fewer clients in a renewal period.</w:t>
      </w:r>
    </w:p>
    <w:p>
      <w:pPr>
        <w:pBdr>
          <w:bottom w:val="single" w:color="D5DDEE" w:sz="3" w:space="1"/>
        </w:pBdr>
        <w:spacing w:after="160" w:before="160"/>
      </w:pPr>
    </w:p>
    <w:p>
      <w:pPr>
        <w:shd w:fill="001E64" w:val="clear"/>
        <w:spacing w:after="200" w:before="480"/>
      </w:pPr>
      <w:r>
        <w:rPr>
          <w:rFonts w:ascii="Courier New" w:cs="Courier New" w:eastAsia="Courier New" w:hAnsi="Courier New"/>
          <w:b/>
          <w:bCs/>
          <w:color w:val="3B8BFF"/>
          <w:sz w:val="24"/>
          <w:szCs w:val="24"/>
        </w:rPr>
        <w:t xml:space="preserve">  §5  </w:t>
      </w:r>
      <w:r>
        <w:rPr>
          <w:rFonts w:ascii="Garamond" w:cs="Garamond" w:eastAsia="Garamond" w:hAnsi="Garamond"/>
          <w:b/>
          <w:bCs/>
          <w:color w:val="FFFFFF"/>
          <w:sz w:val="24"/>
          <w:szCs w:val="24"/>
        </w:rPr>
        <w:t xml:space="preserve">α/β Progressive Risk Schedule</w:t>
      </w:r>
      <w:r>
        <w:rPr>
          <w:rFonts w:ascii="Calibri" w:cs="Calibri" w:eastAsia="Calibri" w:hAnsi="Calibri"/>
          <w:sz w:val="24"/>
          <w:szCs w:val="24"/>
        </w:rPr>
        <w:t xml:space="preserve">  </w:t>
      </w:r>
    </w:p>
    <w:p>
      <w:pPr>
        <w:spacing w:after="60" w:before="60"/>
      </w:pPr>
      <w:r>
        <w:rPr>
          <w:rFonts w:ascii="Calibri" w:cs="Calibri" w:eastAsia="Calibri" w:hAnsi="Calibri"/>
          <w:color w:val="2A4070"/>
          <w:sz w:val="20"/>
          <w:szCs w:val="20"/>
        </w:rPr>
        <w:t xml:space="preserve">IBT tightens both producer and consumer risk as N grows. The schedule is symmetric (α = β at all bands).</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760"/>
        <w:gridCol w:w="1760"/>
        <w:gridCol w:w="2840"/>
      </w:tblGrid>
      <w:tr>
        <w:trPr>
          <w:tblHeader/>
        </w:trPr>
        <w:tc>
          <w:tcPr>
            <w:tcW w:type="dxa" w:w="28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N (client count)</w:t>
            </w:r>
          </w:p>
        </w:tc>
        <w:tc>
          <w:tcPr>
            <w:tcW w:type="dxa" w:w="176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α (Producer Risk)</w:t>
            </w:r>
          </w:p>
        </w:tc>
        <w:tc>
          <w:tcPr>
            <w:tcW w:type="dxa" w:w="176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β (Consumer Risk)</w:t>
            </w:r>
          </w:p>
        </w:tc>
        <w:tc>
          <w:tcPr>
            <w:tcW w:type="dxa" w:w="284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Rationale</w:t>
            </w:r>
          </w:p>
        </w:tc>
      </w:tr>
      <w:tr>
        <w:tc>
          <w:tcPr>
            <w:tcW w:type="dxa" w:w="2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 100</w:t>
            </w:r>
          </w:p>
        </w:tc>
        <w:tc>
          <w:tcPr>
            <w:tcW w:type="dxa" w:w="17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17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284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Small populations</w:t>
            </w:r>
          </w:p>
        </w:tc>
      </w:tr>
      <w:tr>
        <w:tc>
          <w:tcPr>
            <w:tcW w:type="dxa" w:w="2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101 – 200</w:t>
            </w:r>
          </w:p>
        </w:tc>
        <w:tc>
          <w:tcPr>
            <w:tcW w:type="dxa" w:w="17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8%</w:t>
            </w:r>
          </w:p>
        </w:tc>
        <w:tc>
          <w:tcPr>
            <w:tcW w:type="dxa" w:w="17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8%</w:t>
            </w:r>
          </w:p>
        </w:tc>
        <w:tc>
          <w:tcPr>
            <w:tcW w:type="dxa" w:w="284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Growing client base</w:t>
            </w:r>
          </w:p>
        </w:tc>
      </w:tr>
      <w:tr>
        <w:tc>
          <w:tcPr>
            <w:tcW w:type="dxa" w:w="2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201 – 500</w:t>
            </w:r>
          </w:p>
        </w:tc>
        <w:tc>
          <w:tcPr>
            <w:tcW w:type="dxa" w:w="17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6%</w:t>
            </w:r>
          </w:p>
        </w:tc>
        <w:tc>
          <w:tcPr>
            <w:tcW w:type="dxa" w:w="17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6%</w:t>
            </w:r>
          </w:p>
        </w:tc>
        <w:tc>
          <w:tcPr>
            <w:tcW w:type="dxa" w:w="284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Established practice</w:t>
            </w:r>
          </w:p>
        </w:tc>
      </w:tr>
      <w:tr>
        <w:tc>
          <w:tcPr>
            <w:tcW w:type="dxa" w:w="2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501 – 1,000</w:t>
            </w:r>
          </w:p>
        </w:tc>
        <w:tc>
          <w:tcPr>
            <w:tcW w:type="dxa" w:w="17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w:t>
            </w:r>
          </w:p>
        </w:tc>
        <w:tc>
          <w:tcPr>
            <w:tcW w:type="dxa" w:w="17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w:t>
            </w:r>
          </w:p>
        </w:tc>
        <w:tc>
          <w:tcPr>
            <w:tcW w:type="dxa" w:w="284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Substantial client base</w:t>
            </w:r>
          </w:p>
        </w:tc>
      </w:tr>
      <w:tr>
        <w:tc>
          <w:tcPr>
            <w:tcW w:type="dxa" w:w="2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1,001 – 5,000</w:t>
            </w:r>
          </w:p>
        </w:tc>
        <w:tc>
          <w:tcPr>
            <w:tcW w:type="dxa" w:w="17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4%</w:t>
            </w:r>
          </w:p>
        </w:tc>
        <w:tc>
          <w:tcPr>
            <w:tcW w:type="dxa" w:w="17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4%</w:t>
            </w:r>
          </w:p>
        </w:tc>
        <w:tc>
          <w:tcPr>
            <w:tcW w:type="dxa" w:w="284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Regional / multi-location</w:t>
            </w:r>
          </w:p>
        </w:tc>
      </w:tr>
      <w:tr>
        <w:tc>
          <w:tcPr>
            <w:tcW w:type="dxa" w:w="2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5,001 – 10,000</w:t>
            </w:r>
          </w:p>
        </w:tc>
        <w:tc>
          <w:tcPr>
            <w:tcW w:type="dxa" w:w="17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3%</w:t>
            </w:r>
          </w:p>
        </w:tc>
        <w:tc>
          <w:tcPr>
            <w:tcW w:type="dxa" w:w="17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3%</w:t>
            </w:r>
          </w:p>
        </w:tc>
        <w:tc>
          <w:tcPr>
            <w:tcW w:type="dxa" w:w="284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Large established firm</w:t>
            </w:r>
          </w:p>
        </w:tc>
      </w:tr>
      <w:tr>
        <w:tc>
          <w:tcPr>
            <w:tcW w:type="dxa" w:w="2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10,001 – 100,000</w:t>
            </w:r>
          </w:p>
        </w:tc>
        <w:tc>
          <w:tcPr>
            <w:tcW w:type="dxa" w:w="17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w:t>
            </w:r>
          </w:p>
        </w:tc>
        <w:tc>
          <w:tcPr>
            <w:tcW w:type="dxa" w:w="17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w:t>
            </w:r>
          </w:p>
        </w:tc>
        <w:tc>
          <w:tcPr>
            <w:tcW w:type="dxa" w:w="284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Enterprise</w:t>
            </w:r>
          </w:p>
        </w:tc>
      </w:tr>
      <w:tr>
        <w:tc>
          <w:tcPr>
            <w:tcW w:type="dxa" w:w="2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&gt; 100,000</w:t>
            </w:r>
          </w:p>
        </w:tc>
        <w:tc>
          <w:tcPr>
            <w:tcW w:type="dxa" w:w="17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w:t>
            </w:r>
          </w:p>
        </w:tc>
        <w:tc>
          <w:tcPr>
            <w:tcW w:type="dxa" w:w="17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w:t>
            </w:r>
          </w:p>
        </w:tc>
        <w:tc>
          <w:tcPr>
            <w:tcW w:type="dxa" w:w="284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National / multinational</w:t>
            </w:r>
          </w:p>
        </w:tc>
      </w:tr>
    </w:tbl>
    <w:p>
      <w:pPr>
        <w:pBdr>
          <w:bottom w:val="single" w:color="D5DDEE" w:sz="3" w:space="1"/>
        </w:pBdr>
        <w:spacing w:after="160" w:before="160"/>
      </w:pPr>
    </w:p>
    <w:p>
      <w:pPr>
        <w:shd w:fill="001E64" w:val="clear"/>
        <w:spacing w:after="200" w:before="480"/>
      </w:pPr>
      <w:r>
        <w:rPr>
          <w:rFonts w:ascii="Courier New" w:cs="Courier New" w:eastAsia="Courier New" w:hAnsi="Courier New"/>
          <w:b/>
          <w:bCs/>
          <w:color w:val="3B8BFF"/>
          <w:sz w:val="24"/>
          <w:szCs w:val="24"/>
        </w:rPr>
        <w:t xml:space="preserve">  §6  </w:t>
      </w:r>
      <w:r>
        <w:rPr>
          <w:rFonts w:ascii="Garamond" w:cs="Garamond" w:eastAsia="Garamond" w:hAnsi="Garamond"/>
          <w:b/>
          <w:bCs/>
          <w:color w:val="FFFFFF"/>
          <w:sz w:val="24"/>
          <w:szCs w:val="24"/>
        </w:rPr>
        <w:t xml:space="preserve">Reference Sampling Plan Table</w:t>
      </w:r>
      <w:r>
        <w:rPr>
          <w:rFonts w:ascii="Calibri" w:cs="Calibri" w:eastAsia="Calibri" w:hAnsi="Calibri"/>
          <w:sz w:val="24"/>
          <w:szCs w:val="24"/>
        </w:rPr>
        <w:t xml:space="preserve">  </w:t>
      </w:r>
    </w:p>
    <w:p>
      <w:pPr>
        <w:spacing w:after="60" w:before="60"/>
      </w:pPr>
      <w:r>
        <w:rPr>
          <w:rFonts w:ascii="Calibri" w:cs="Calibri" w:eastAsia="Calibri" w:hAnsi="Calibri"/>
          <w:color w:val="2A4070"/>
          <w:sz w:val="20"/>
          <w:szCs w:val="20"/>
        </w:rPr>
        <w:t xml:space="preserve">Canonical (N, n, c) values derived by the algorithm. Operative n = max(n_hyper, floor, prior_n).</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1000"/>
        <w:gridCol w:w="1000"/>
        <w:gridCol w:w="1160"/>
        <w:gridCol w:w="600"/>
        <w:gridCol w:w="1000"/>
        <w:gridCol w:w="800"/>
      </w:tblGrid>
      <w:tr>
        <w:trPr>
          <w:tblHeader/>
        </w:trPr>
        <w:tc>
          <w:tcPr>
            <w:tcW w:type="dxa" w:w="10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N</w:t>
            </w:r>
          </w:p>
        </w:tc>
        <w:tc>
          <w:tcPr>
            <w:tcW w:type="dxa" w:w="10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n (hyper)</w:t>
            </w:r>
          </w:p>
        </w:tc>
        <w:tc>
          <w:tcPr>
            <w:tcW w:type="dxa" w:w="10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n (floor)</w:t>
            </w:r>
          </w:p>
        </w:tc>
        <w:tc>
          <w:tcPr>
            <w:tcW w:type="dxa" w:w="116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n (operative)</w:t>
            </w:r>
          </w:p>
        </w:tc>
        <w:tc>
          <w:tcPr>
            <w:tcW w:type="dxa" w:w="6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c</w:t>
            </w:r>
          </w:p>
        </w:tc>
        <w:tc>
          <w:tcPr>
            <w:tcW w:type="dxa" w:w="10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Backstop</w:t>
            </w:r>
          </w:p>
        </w:tc>
        <w:tc>
          <w:tcPr>
            <w:tcW w:type="dxa" w:w="8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α=β</w:t>
            </w:r>
          </w:p>
        </w:tc>
      </w:tr>
      <w:tr>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11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w:t>
            </w:r>
          </w:p>
        </w:tc>
        <w:tc>
          <w:tcPr>
            <w:tcW w:type="dxa" w:w="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w:t>
            </w:r>
          </w:p>
        </w:tc>
      </w:tr>
      <w:tr>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w:t>
            </w:r>
          </w:p>
        </w:tc>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3</w:t>
            </w:r>
          </w:p>
        </w:tc>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11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3</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w:t>
            </w:r>
          </w:p>
        </w:tc>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w:t>
            </w:r>
          </w:p>
        </w:tc>
        <w:tc>
          <w:tcPr>
            <w:tcW w:type="dxa" w:w="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w:t>
            </w:r>
          </w:p>
        </w:tc>
      </w:tr>
      <w:tr>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8</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11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8</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w:t>
            </w:r>
          </w:p>
        </w:tc>
        <w:tc>
          <w:tcPr>
            <w:tcW w:type="dxa" w:w="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w:t>
            </w:r>
          </w:p>
        </w:tc>
      </w:tr>
      <w:tr>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15</w:t>
            </w:r>
          </w:p>
        </w:tc>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9</w:t>
            </w:r>
          </w:p>
        </w:tc>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11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9</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w:t>
            </w:r>
          </w:p>
        </w:tc>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w:t>
            </w:r>
          </w:p>
        </w:tc>
        <w:tc>
          <w:tcPr>
            <w:tcW w:type="dxa" w:w="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w:t>
            </w:r>
          </w:p>
        </w:tc>
      </w:tr>
      <w:tr>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25</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13</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11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13</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3</w:t>
            </w:r>
          </w:p>
        </w:tc>
        <w:tc>
          <w:tcPr>
            <w:tcW w:type="dxa" w:w="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w:t>
            </w:r>
          </w:p>
        </w:tc>
      </w:tr>
      <w:tr>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50</w:t>
            </w:r>
          </w:p>
        </w:tc>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19</w:t>
            </w:r>
          </w:p>
        </w:tc>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11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19</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3</w:t>
            </w:r>
          </w:p>
        </w:tc>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w:t>
            </w:r>
          </w:p>
        </w:tc>
        <w:tc>
          <w:tcPr>
            <w:tcW w:type="dxa" w:w="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w:t>
            </w:r>
          </w:p>
        </w:tc>
      </w:tr>
      <w:tr>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24</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11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24</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4</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w:t>
            </w:r>
          </w:p>
        </w:tc>
      </w:tr>
      <w:tr>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200</w:t>
            </w:r>
          </w:p>
        </w:tc>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29</w:t>
            </w:r>
          </w:p>
        </w:tc>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11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29</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w:t>
            </w:r>
          </w:p>
        </w:tc>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20</w:t>
            </w:r>
          </w:p>
        </w:tc>
        <w:tc>
          <w:tcPr>
            <w:tcW w:type="dxa" w:w="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8%</w:t>
            </w:r>
          </w:p>
        </w:tc>
      </w:tr>
      <w:tr>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500</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35</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11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35</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6</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50</w:t>
            </w:r>
          </w:p>
        </w:tc>
        <w:tc>
          <w:tcPr>
            <w:tcW w:type="dxa" w:w="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6%</w:t>
            </w:r>
          </w:p>
        </w:tc>
      </w:tr>
      <w:tr>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1,000</w:t>
            </w:r>
          </w:p>
        </w:tc>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50</w:t>
            </w:r>
          </w:p>
        </w:tc>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50</w:t>
            </w:r>
          </w:p>
        </w:tc>
        <w:tc>
          <w:tcPr>
            <w:tcW w:type="dxa" w:w="11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50</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9</w:t>
            </w:r>
          </w:p>
        </w:tc>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100</w:t>
            </w:r>
          </w:p>
        </w:tc>
        <w:tc>
          <w:tcPr>
            <w:tcW w:type="dxa" w:w="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w:t>
            </w:r>
          </w:p>
        </w:tc>
      </w:tr>
      <w:tr>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2,000</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w:t>
            </w:r>
          </w:p>
        </w:tc>
        <w:tc>
          <w:tcPr>
            <w:tcW w:type="dxa" w:w="11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15</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200</w:t>
            </w:r>
          </w:p>
        </w:tc>
        <w:tc>
          <w:tcPr>
            <w:tcW w:type="dxa" w:w="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4%</w:t>
            </w:r>
          </w:p>
        </w:tc>
      </w:tr>
      <w:tr>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5,000</w:t>
            </w:r>
          </w:p>
        </w:tc>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250</w:t>
            </w:r>
          </w:p>
        </w:tc>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250</w:t>
            </w:r>
          </w:p>
        </w:tc>
        <w:tc>
          <w:tcPr>
            <w:tcW w:type="dxa" w:w="11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250</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33</w:t>
            </w:r>
          </w:p>
        </w:tc>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500</w:t>
            </w:r>
          </w:p>
        </w:tc>
        <w:tc>
          <w:tcPr>
            <w:tcW w:type="dxa" w:w="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4%</w:t>
            </w:r>
          </w:p>
        </w:tc>
      </w:tr>
      <w:tr>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10,000</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500</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500</w:t>
            </w:r>
          </w:p>
        </w:tc>
        <w:tc>
          <w:tcPr>
            <w:tcW w:type="dxa" w:w="11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500</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63</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1,000</w:t>
            </w:r>
          </w:p>
        </w:tc>
        <w:tc>
          <w:tcPr>
            <w:tcW w:type="dxa" w:w="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3%</w:t>
            </w:r>
          </w:p>
        </w:tc>
      </w:tr>
      <w:tr>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100,000</w:t>
            </w:r>
          </w:p>
        </w:tc>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3,000</w:t>
            </w:r>
          </w:p>
        </w:tc>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3,000</w:t>
            </w:r>
          </w:p>
        </w:tc>
        <w:tc>
          <w:tcPr>
            <w:tcW w:type="dxa" w:w="11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3,000</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334</w:t>
            </w:r>
          </w:p>
        </w:tc>
        <w:tc>
          <w:tcPr>
            <w:tcW w:type="dxa" w:w="1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10,000</w:t>
            </w:r>
          </w:p>
        </w:tc>
        <w:tc>
          <w:tcPr>
            <w:tcW w:type="dxa" w:w="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w:t>
            </w:r>
          </w:p>
        </w:tc>
      </w:tr>
      <w:tr>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1,000,000</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10,000</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10,000</w:t>
            </w:r>
          </w:p>
        </w:tc>
        <w:tc>
          <w:tcPr>
            <w:tcW w:type="dxa" w:w="11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10,000</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1,000</w:t>
            </w:r>
          </w:p>
        </w:tc>
        <w:tc>
          <w:tcPr>
            <w:tcW w:type="dxa" w:w="1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100,000</w:t>
            </w:r>
          </w:p>
        </w:tc>
        <w:tc>
          <w:tcPr>
            <w:tcW w:type="dxa" w:w="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w:t>
            </w:r>
          </w:p>
        </w:tc>
      </w:tr>
    </w:tbl>
    <w:p>
      <w:pPr>
        <w:spacing w:after="80" w:before="80"/>
      </w:pPr>
    </w:p>
    <w:p>
      <w:pPr>
        <w:pBdr>
          <w:left w:val="single" w:color="0057FF" w:sz="6" w:space="2"/>
        </w:pBdr>
        <w:shd w:fill="EEF2FF" w:val="clear"/>
        <w:spacing w:after="80" w:before="80"/>
        <w:ind w:left="360"/>
      </w:pPr>
      <w:r>
        <w:rPr>
          <w:rFonts w:ascii="Calibri" w:cs="Calibri" w:eastAsia="Calibri" w:hAnsi="Calibri"/>
          <w:i/>
          <w:iCs/>
          <w:color w:val="2A4070"/>
          <w:sz w:val="18"/>
          <w:szCs w:val="18"/>
        </w:rPr>
        <w:t xml:space="preserve">N=10: c=1 is the canonical correct value. c=0 produces P(pass|good)=0.20, failing a genuinely good business 80% of the time. c=1 satisfies both α and β constraints. Verified by exact hypergeometric computation.</w:t>
      </w:r>
    </w:p>
    <w:p>
      <w:pPr>
        <w:pBdr>
          <w:bottom w:val="single" w:color="D5DDEE" w:sz="3" w:space="1"/>
        </w:pBdr>
        <w:spacing w:after="160" w:before="160"/>
      </w:pPr>
    </w:p>
    <w:p>
      <w:pPr>
        <w:shd w:fill="001E64" w:val="clear"/>
        <w:spacing w:after="200" w:before="480"/>
      </w:pPr>
      <w:r>
        <w:rPr>
          <w:rFonts w:ascii="Courier New" w:cs="Courier New" w:eastAsia="Courier New" w:hAnsi="Courier New"/>
          <w:b/>
          <w:bCs/>
          <w:color w:val="3B8BFF"/>
          <w:sz w:val="24"/>
          <w:szCs w:val="24"/>
        </w:rPr>
        <w:t xml:space="preserve">  §7  </w:t>
      </w:r>
      <w:r>
        <w:rPr>
          <w:rFonts w:ascii="Garamond" w:cs="Garamond" w:eastAsia="Garamond" w:hAnsi="Garamond"/>
          <w:b/>
          <w:bCs/>
          <w:color w:val="FFFFFF"/>
          <w:sz w:val="24"/>
          <w:szCs w:val="24"/>
        </w:rPr>
        <w:t xml:space="preserve">Certification Decision Logic</w:t>
      </w:r>
      <w:r>
        <w:rPr>
          <w:rFonts w:ascii="Calibri" w:cs="Calibri" w:eastAsia="Calibri" w:hAnsi="Calibri"/>
          <w:sz w:val="24"/>
          <w:szCs w:val="24"/>
        </w:rPr>
        <w:t xml:space="preserve">  </w:t>
      </w:r>
    </w:p>
    <w:p>
      <w:pPr>
        <w:spacing w:after="60" w:before="60"/>
      </w:pPr>
      <w:r>
        <w:rPr>
          <w:rFonts w:ascii="Calibri" w:cs="Calibri" w:eastAsia="Calibri" w:hAnsi="Calibri"/>
          <w:color w:val="2A4070"/>
          <w:sz w:val="20"/>
          <w:szCs w:val="20"/>
        </w:rPr>
        <w:t xml:space="preserve">Steps are evaluated in order. The first triggered outcome terminates evaluation.</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1600"/>
        <w:gridCol w:w="3100"/>
        <w:gridCol w:w="4160"/>
      </w:tblGrid>
      <w:tr>
        <w:trPr>
          <w:tblHeader/>
        </w:trPr>
        <w:tc>
          <w:tcPr>
            <w:tcW w:type="dxa" w:w="5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Step</w:t>
            </w:r>
          </w:p>
        </w:tc>
        <w:tc>
          <w:tcPr>
            <w:tcW w:type="dxa" w:w="16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Gate</w:t>
            </w:r>
          </w:p>
        </w:tc>
        <w:tc>
          <w:tcPr>
            <w:tcW w:type="dxa" w:w="31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Condition</w:t>
            </w:r>
          </w:p>
        </w:tc>
        <w:tc>
          <w:tcPr>
            <w:tcW w:type="dxa" w:w="416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Outcome</w:t>
            </w:r>
          </w:p>
        </w:tc>
      </w:tr>
      <w:tr>
        <w:tc>
          <w:tcPr>
            <w:tcW w:type="dxa" w:w="5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w:t>
            </w:r>
          </w:p>
        </w:tc>
        <w:tc>
          <w:tcPr>
            <w:tcW w:type="dxa" w:w="1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Minimum Response</w:t>
            </w:r>
          </w:p>
        </w:tc>
        <w:tc>
          <w:tcPr>
            <w:tcW w:type="dxa" w:w="31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Verified responses &lt; n</w:t>
            </w:r>
          </w:p>
        </w:tc>
        <w:tc>
          <w:tcPr>
            <w:tcW w:type="dxa" w:w="41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INCOMPLETE — not a failure. Business may reapply.</w:t>
            </w:r>
          </w:p>
        </w:tc>
      </w:tr>
      <w:tr>
        <w:tc>
          <w:tcPr>
            <w:tcW w:type="dxa" w:w="5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w:t>
            </w:r>
          </w:p>
        </w:tc>
        <w:tc>
          <w:tcPr>
            <w:tcW w:type="dxa" w:w="1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Backstop</w:t>
            </w:r>
          </w:p>
        </w:tc>
        <w:tc>
          <w:tcPr>
            <w:tcW w:type="dxa" w:w="31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Verified negatives ≥ ⌈0.10 × N⌉</w:t>
            </w:r>
          </w:p>
        </w:tc>
        <w:tc>
          <w:tcPr>
            <w:tcW w:type="dxa" w:w="41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FAIL — overrides all other gates.</w:t>
            </w:r>
          </w:p>
        </w:tc>
      </w:tr>
      <w:tr>
        <w:tc>
          <w:tcPr>
            <w:tcW w:type="dxa" w:w="5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3</w:t>
            </w:r>
          </w:p>
        </w:tc>
        <w:tc>
          <w:tcPr>
            <w:tcW w:type="dxa" w:w="1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Count Gate</w:t>
            </w:r>
          </w:p>
        </w:tc>
        <w:tc>
          <w:tcPr>
            <w:tcW w:type="dxa" w:w="31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Verified negatives ≤ c</w:t>
            </w:r>
          </w:p>
        </w:tc>
        <w:tc>
          <w:tcPr>
            <w:tcW w:type="dxa" w:w="41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PASS</w:t>
            </w:r>
          </w:p>
        </w:tc>
      </w:tr>
      <w:tr>
        <w:tc>
          <w:tcPr>
            <w:tcW w:type="dxa" w:w="5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4</w:t>
            </w:r>
          </w:p>
        </w:tc>
        <w:tc>
          <w:tcPr>
            <w:tcW w:type="dxa" w:w="1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Ratio Gate*</w:t>
            </w:r>
          </w:p>
        </w:tc>
        <w:tc>
          <w:tcPr>
            <w:tcW w:type="dxa" w:w="31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neg / total ≤ 0.10</w:t>
            </w:r>
          </w:p>
        </w:tc>
        <w:tc>
          <w:tcPr>
            <w:tcW w:type="dxa" w:w="41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PASS (requires n ≥ 20)</w:t>
            </w:r>
          </w:p>
        </w:tc>
      </w:tr>
      <w:tr>
        <w:tc>
          <w:tcPr>
            <w:tcW w:type="dxa" w:w="5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5</w:t>
            </w:r>
          </w:p>
        </w:tc>
        <w:tc>
          <w:tcPr>
            <w:tcW w:type="dxa" w:w="1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Default</w:t>
            </w:r>
          </w:p>
        </w:tc>
        <w:tc>
          <w:tcPr>
            <w:tcW w:type="dxa" w:w="31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None of the above passed</w:t>
            </w:r>
          </w:p>
        </w:tc>
        <w:tc>
          <w:tcPr>
            <w:tcW w:type="dxa" w:w="41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FAIL</w:t>
            </w:r>
          </w:p>
        </w:tc>
      </w:tr>
    </w:tbl>
    <w:p>
      <w:pPr>
        <w:pBdr>
          <w:bottom w:val="single" w:color="D5DDEE" w:sz="3" w:space="1"/>
        </w:pBdr>
        <w:spacing w:after="160" w:before="160"/>
      </w:pPr>
    </w:p>
    <w:p>
      <w:pPr>
        <w:shd w:fill="001E64" w:val="clear"/>
        <w:spacing w:after="200" w:before="480"/>
      </w:pPr>
      <w:r>
        <w:rPr>
          <w:rFonts w:ascii="Courier New" w:cs="Courier New" w:eastAsia="Courier New" w:hAnsi="Courier New"/>
          <w:b/>
          <w:bCs/>
          <w:color w:val="3B8BFF"/>
          <w:sz w:val="24"/>
          <w:szCs w:val="24"/>
        </w:rPr>
        <w:t xml:space="preserve">  §8  </w:t>
      </w:r>
      <w:r>
        <w:rPr>
          <w:rFonts w:ascii="Garamond" w:cs="Garamond" w:eastAsia="Garamond" w:hAnsi="Garamond"/>
          <w:b/>
          <w:bCs/>
          <w:color w:val="FFFFFF"/>
          <w:sz w:val="24"/>
          <w:szCs w:val="24"/>
        </w:rPr>
        <w:t xml:space="preserve">Certification Standings</w:t>
      </w:r>
      <w:r>
        <w:rPr>
          <w:rFonts w:ascii="Calibri" w:cs="Calibri" w:eastAsia="Calibri" w:hAnsi="Calibri"/>
          <w:sz w:val="24"/>
          <w:szCs w:val="24"/>
        </w:rPr>
        <w:t xml:space="preserve">  </w:t>
      </w:r>
    </w:p>
    <w:p>
      <w:pPr>
        <w:spacing w:after="60" w:before="60"/>
      </w:pPr>
      <w:r>
        <w:rPr>
          <w:rFonts w:ascii="Calibri" w:cs="Calibri" w:eastAsia="Calibri" w:hAnsi="Calibri"/>
          <w:color w:val="2A4070"/>
          <w:sz w:val="20"/>
          <w:szCs w:val="20"/>
        </w:rPr>
        <w:t xml:space="preserve">Awarded post-pass. Each requires BOTH a minimum positive ratio AND a minimum positive volume simultaneously.</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800"/>
        <w:gridCol w:w="1800"/>
        <w:gridCol w:w="4260"/>
      </w:tblGrid>
      <w:tr>
        <w:trPr>
          <w:tblHeader/>
        </w:trPr>
        <w:tc>
          <w:tcPr>
            <w:tcW w:type="dxa" w:w="15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Standing</w:t>
            </w:r>
          </w:p>
        </w:tc>
        <w:tc>
          <w:tcPr>
            <w:tcW w:type="dxa" w:w="18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Min Positive Ratio</w:t>
            </w:r>
          </w:p>
        </w:tc>
        <w:tc>
          <w:tcPr>
            <w:tcW w:type="dxa" w:w="18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Min Positive Count</w:t>
            </w:r>
          </w:p>
        </w:tc>
        <w:tc>
          <w:tcPr>
            <w:tcW w:type="dxa" w:w="426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Notes</w:t>
            </w:r>
          </w:p>
        </w:tc>
      </w:tr>
      <w:tr>
        <w:tc>
          <w:tcPr>
            <w:tcW w:type="dxa" w:w="15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Bronze</w:t>
            </w:r>
          </w:p>
        </w:tc>
        <w:tc>
          <w:tcPr>
            <w:tcW w:type="dxa" w:w="1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 80%</w:t>
            </w:r>
          </w:p>
        </w:tc>
        <w:tc>
          <w:tcPr>
            <w:tcW w:type="dxa" w:w="1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 n</w:t>
            </w:r>
          </w:p>
        </w:tc>
        <w:tc>
          <w:tcPr>
            <w:tcW w:type="dxa" w:w="42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Base certification threshold</w:t>
            </w:r>
          </w:p>
        </w:tc>
      </w:tr>
      <w:tr>
        <w:tc>
          <w:tcPr>
            <w:tcW w:type="dxa" w:w="15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Silver</w:t>
            </w:r>
          </w:p>
        </w:tc>
        <w:tc>
          <w:tcPr>
            <w:tcW w:type="dxa" w:w="1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 85%</w:t>
            </w:r>
          </w:p>
        </w:tc>
        <w:tc>
          <w:tcPr>
            <w:tcW w:type="dxa" w:w="1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 ⌈1.5n⌉</w:t>
            </w:r>
          </w:p>
        </w:tc>
        <w:tc>
          <w:tcPr>
            <w:tcW w:type="dxa" w:w="42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Above-standard satisfaction at scale</w:t>
            </w:r>
          </w:p>
        </w:tc>
      </w:tr>
      <w:tr>
        <w:tc>
          <w:tcPr>
            <w:tcW w:type="dxa" w:w="15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Gold</w:t>
            </w:r>
          </w:p>
        </w:tc>
        <w:tc>
          <w:tcPr>
            <w:tcW w:type="dxa" w:w="1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 90%</w:t>
            </w:r>
          </w:p>
        </w:tc>
        <w:tc>
          <w:tcPr>
            <w:tcW w:type="dxa" w:w="1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 ⌈2.0n⌉</w:t>
            </w:r>
          </w:p>
        </w:tc>
        <w:tc>
          <w:tcPr>
            <w:tcW w:type="dxa" w:w="42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Consistently excellent</w:t>
            </w:r>
          </w:p>
        </w:tc>
      </w:tr>
      <w:tr>
        <w:tc>
          <w:tcPr>
            <w:tcW w:type="dxa" w:w="15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Platinum</w:t>
            </w:r>
          </w:p>
        </w:tc>
        <w:tc>
          <w:tcPr>
            <w:tcW w:type="dxa" w:w="1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 95%</w:t>
            </w:r>
          </w:p>
        </w:tc>
        <w:tc>
          <w:tcPr>
            <w:tcW w:type="dxa" w:w="1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 ⌈3.0n⌉</w:t>
            </w:r>
          </w:p>
        </w:tc>
        <w:tc>
          <w:tcPr>
            <w:tcW w:type="dxa" w:w="42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Exceptional at scale</w:t>
            </w:r>
          </w:p>
        </w:tc>
      </w:tr>
    </w:tbl>
    <w:p>
      <w:pPr>
        <w:pBdr>
          <w:bottom w:val="single" w:color="D5DDEE" w:sz="3" w:space="1"/>
        </w:pBdr>
        <w:spacing w:after="160" w:before="160"/>
      </w:pPr>
    </w:p>
    <w:p>
      <w:pPr>
        <w:shd w:fill="001E64" w:val="clear"/>
        <w:spacing w:after="200" w:before="480"/>
      </w:pPr>
      <w:r>
        <w:rPr>
          <w:rFonts w:ascii="Courier New" w:cs="Courier New" w:eastAsia="Courier New" w:hAnsi="Courier New"/>
          <w:b/>
          <w:bCs/>
          <w:color w:val="3B8BFF"/>
          <w:sz w:val="24"/>
          <w:szCs w:val="24"/>
        </w:rPr>
        <w:t xml:space="preserve">  §9  </w:t>
      </w:r>
      <w:r>
        <w:rPr>
          <w:rFonts w:ascii="Garamond" w:cs="Garamond" w:eastAsia="Garamond" w:hAnsi="Garamond"/>
          <w:b/>
          <w:bCs/>
          <w:color w:val="FFFFFF"/>
          <w:sz w:val="24"/>
          <w:szCs w:val="24"/>
        </w:rPr>
        <w:t xml:space="preserve">Data Collection Protocol</w:t>
      </w:r>
      <w:r>
        <w:rPr>
          <w:rFonts w:ascii="Calibri" w:cs="Calibri" w:eastAsia="Calibri" w:hAnsi="Calibri"/>
          <w:sz w:val="24"/>
          <w:szCs w:val="24"/>
        </w:rPr>
        <w:t xml:space="preserve">  </w:t>
      </w:r>
    </w:p>
    <w:p>
      <w:pPr>
        <w:spacing w:after="60" w:before="60"/>
      </w:pPr>
      <w:r>
        <w:rPr>
          <w:rFonts w:ascii="Calibri" w:cs="Calibri" w:eastAsia="Calibri" w:hAnsi="Calibri"/>
          <w:color w:val="2A4070"/>
          <w:sz w:val="20"/>
          <w:szCs w:val="20"/>
        </w:rPr>
        <w:t xml:space="preserve">All outreach conducted exclusively by IBT Assessment Operations. The business has zero contact with the outreach process during the evidence window.</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Control</w:t>
            </w:r>
          </w:p>
        </w:tc>
        <w:tc>
          <w:tcPr>
            <w:tcW w:type="dxa" w:w="696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Detail</w:t>
            </w:r>
          </w:p>
        </w:tc>
      </w:tr>
      <w:tr>
        <w:tc>
          <w:tcPr>
            <w:tcW w:type="dxa" w:w="24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Survey Instrument</w:t>
            </w:r>
          </w:p>
        </w:tc>
        <w:tc>
          <w:tcPr>
            <w:tcW w:type="dxa" w:w="69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Single locked question. Standardised at assessment start. Cannot be modified mid-assessment.</w:t>
            </w:r>
          </w:p>
        </w:tc>
      </w:tr>
      <w:tr>
        <w:tc>
          <w:tcPr>
            <w:tcW w:type="dxa" w:w="24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Identity Verification</w:t>
            </w:r>
          </w:p>
        </w:tc>
        <w:tc>
          <w:tcPr>
            <w:tcW w:type="dxa" w:w="69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Two-layer: Stripe Identity document verification + client record cross-check. Unverified responses excluded from all calculations.</w:t>
            </w:r>
          </w:p>
        </w:tc>
      </w:tr>
      <w:tr>
        <w:tc>
          <w:tcPr>
            <w:tcW w:type="dxa" w:w="24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Outreach Sequencing</w:t>
            </w:r>
          </w:p>
        </w:tc>
        <w:tc>
          <w:tcPr>
            <w:tcW w:type="dxa" w:w="69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Randomised via cryptographically-secure RNG seeded at plan confirmation. Sequence logged with hash for post-hoc audit.</w:t>
            </w:r>
          </w:p>
        </w:tc>
      </w:tr>
      <w:tr>
        <w:tc>
          <w:tcPr>
            <w:tcW w:type="dxa" w:w="24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Response Window</w:t>
            </w:r>
          </w:p>
        </w:tc>
        <w:tc>
          <w:tcPr>
            <w:tcW w:type="dxa" w:w="69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Opens day 14. Closes day 90. Reminder cadence: initial outreach + 2 follow-ups at 10-day intervals.</w:t>
            </w:r>
          </w:p>
        </w:tc>
      </w:tr>
    </w:tbl>
    <w:p>
      <w:pPr>
        <w:pBdr>
          <w:bottom w:val="single" w:color="D5DDEE" w:sz="3" w:space="1"/>
        </w:pBdr>
        <w:spacing w:after="160" w:before="160"/>
      </w:pPr>
    </w:p>
    <w:p>
      <w:pPr>
        <w:shd w:fill="001E64" w:val="clear"/>
        <w:spacing w:after="200" w:before="480"/>
      </w:pPr>
      <w:r>
        <w:rPr>
          <w:rFonts w:ascii="Courier New" w:cs="Courier New" w:eastAsia="Courier New" w:hAnsi="Courier New"/>
          <w:b/>
          <w:bCs/>
          <w:color w:val="3B8BFF"/>
          <w:sz w:val="24"/>
          <w:szCs w:val="24"/>
        </w:rPr>
        <w:t xml:space="preserve">  §10  </w:t>
      </w:r>
      <w:r>
        <w:rPr>
          <w:rFonts w:ascii="Garamond" w:cs="Garamond" w:eastAsia="Garamond" w:hAnsi="Garamond"/>
          <w:b/>
          <w:bCs/>
          <w:color w:val="FFFFFF"/>
          <w:sz w:val="24"/>
          <w:szCs w:val="24"/>
        </w:rPr>
        <w:t xml:space="preserve">Client List Integrity Controls</w:t>
      </w:r>
      <w:r>
        <w:rPr>
          <w:rFonts w:ascii="Calibri" w:cs="Calibri" w:eastAsia="Calibri" w:hAnsi="Calibri"/>
          <w:sz w:val="24"/>
          <w:szCs w:val="24"/>
        </w:rPr>
        <w:t xml:space="preserve">  </w:t>
      </w:r>
    </w:p>
    <w:p>
      <w:pPr>
        <w:spacing w:after="60" w:before="60"/>
      </w:pPr>
      <w:r>
        <w:rPr>
          <w:rFonts w:ascii="Calibri" w:cs="Calibri" w:eastAsia="Calibri" w:hAnsi="Calibri"/>
          <w:color w:val="2A4070"/>
          <w:sz w:val="20"/>
          <w:szCs w:val="20"/>
        </w:rPr>
        <w:t xml:space="preserve">The client list is the foundational control against gaming. These controls are mandatory.</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rPr>
          <w:tblHeader/>
        </w:trPr>
        <w:tc>
          <w:tcPr>
            <w:tcW w:type="dxa" w:w="25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Control</w:t>
            </w:r>
          </w:p>
        </w:tc>
        <w:tc>
          <w:tcPr>
            <w:tcW w:type="dxa" w:w="686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Description</w:t>
            </w:r>
          </w:p>
        </w:tc>
      </w:tr>
      <w:tr>
        <w:tc>
          <w:tcPr>
            <w:tcW w:type="dxa" w:w="25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Completeness Declaration</w:t>
            </w:r>
          </w:p>
        </w:tc>
        <w:tc>
          <w:tcPr>
            <w:tcW w:type="dxa" w:w="68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Applicant signs under penalty of certification bar: legally binding affirmation that the submitted list includes all clients with no intentional omissions.</w:t>
            </w:r>
          </w:p>
        </w:tc>
      </w:tr>
      <w:tr>
        <w:tc>
          <w:tcPr>
            <w:tcW w:type="dxa" w:w="25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Dual-Source Cross-Verify</w:t>
            </w:r>
          </w:p>
        </w:tc>
        <w:tc>
          <w:tcPr>
            <w:tcW w:type="dxa" w:w="68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List compared against billing records and CRM data. Discrepancy &gt;5% or &gt;10 clients triggers Certification Committee review.</w:t>
            </w:r>
          </w:p>
        </w:tc>
      </w:tr>
      <w:tr>
        <w:tc>
          <w:tcPr>
            <w:tcW w:type="dxa" w:w="25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Random Callback Audit</w:t>
            </w:r>
          </w:p>
        </w:tc>
        <w:tc>
          <w:tcPr>
            <w:tcW w:type="dxa" w:w="68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 of clients selected randomly. IBT independently confirms the client relationship. Failures above tolerance trigger list rejection.</w:t>
            </w:r>
          </w:p>
        </w:tc>
      </w:tr>
      <w:tr>
        <w:tc>
          <w:tcPr>
            <w:tcW w:type="dxa" w:w="25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Fraud Finding</w:t>
            </w:r>
          </w:p>
        </w:tc>
        <w:tc>
          <w:tcPr>
            <w:tcW w:type="dxa" w:w="68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Immediate termination · 24-month reapplication bar · Public disclosure (business name, finding, date).</w:t>
            </w:r>
          </w:p>
        </w:tc>
      </w:tr>
    </w:tbl>
    <w:p>
      <w:pPr>
        <w:pBdr>
          <w:bottom w:val="single" w:color="D5DDEE" w:sz="3" w:space="1"/>
        </w:pBdr>
        <w:spacing w:after="160" w:before="160"/>
      </w:pPr>
    </w:p>
    <w:p>
      <w:pPr>
        <w:shd w:fill="001E64" w:val="clear"/>
        <w:spacing w:after="200" w:before="480"/>
      </w:pPr>
      <w:r>
        <w:rPr>
          <w:rFonts w:ascii="Courier New" w:cs="Courier New" w:eastAsia="Courier New" w:hAnsi="Courier New"/>
          <w:b/>
          <w:bCs/>
          <w:color w:val="3B8BFF"/>
          <w:sz w:val="24"/>
          <w:szCs w:val="24"/>
        </w:rPr>
        <w:t xml:space="preserve">  §11  </w:t>
      </w:r>
      <w:r>
        <w:rPr>
          <w:rFonts w:ascii="Garamond" w:cs="Garamond" w:eastAsia="Garamond" w:hAnsi="Garamond"/>
          <w:b/>
          <w:bCs/>
          <w:color w:val="FFFFFF"/>
          <w:sz w:val="24"/>
          <w:szCs w:val="24"/>
        </w:rPr>
        <w:t xml:space="preserve">Assessment Pricing</w:t>
      </w:r>
      <w:r>
        <w:rPr>
          <w:rFonts w:ascii="Calibri" w:cs="Calibri" w:eastAsia="Calibri" w:hAnsi="Calibri"/>
          <w:sz w:val="24"/>
          <w:szCs w:val="24"/>
        </w:rPr>
        <w:t xml:space="preserve">  </w:t>
      </w:r>
    </w:p>
    <w:p>
      <w:pPr>
        <w:spacing w:after="60" w:before="200"/>
      </w:pPr>
      <w:r>
        <w:rPr>
          <w:rFonts w:ascii="Calibri" w:cs="Calibri" w:eastAsia="Calibri" w:hAnsi="Calibri"/>
          <w:b/>
          <w:bCs/>
          <w:color w:val="001E64"/>
          <w:sz w:val="22"/>
          <w:szCs w:val="22"/>
        </w:rPr>
        <w:t xml:space="preserve">11.1  Formula</w:t>
      </w:r>
    </w:p>
    <w:p>
      <w:pPr>
        <w:pBdr>
          <w:left w:val="single" w:color="0057FF" w:sz="8" w:space="3"/>
        </w:pBdr>
        <w:shd w:fill="EEF2FF" w:val="clear"/>
        <w:spacing w:after="120" w:before="120"/>
        <w:jc w:val="center"/>
      </w:pPr>
      <w:r>
        <w:rPr>
          <w:rFonts w:ascii="Courier New" w:cs="Courier New" w:eastAsia="Courier New" w:hAnsi="Courier New"/>
          <w:b/>
          <w:bCs/>
          <w:color w:val="001E64"/>
          <w:sz w:val="24"/>
          <w:szCs w:val="24"/>
        </w:rPr>
        <w:t xml:space="preserve">Raw fee = (n × $50 + N × $3) × I × C</w:t>
      </w:r>
    </w:p>
    <w:p>
      <w:pPr>
        <w:spacing w:after="80" w:before="80"/>
      </w:pPr>
    </w:p>
    <w:p>
      <w:pPr>
        <w:spacing w:after="60" w:before="200"/>
      </w:pPr>
      <w:r>
        <w:rPr>
          <w:rFonts w:ascii="Calibri" w:cs="Calibri" w:eastAsia="Calibri" w:hAnsi="Calibri"/>
          <w:b/>
          <w:bCs/>
          <w:color w:val="001E64"/>
          <w:sz w:val="22"/>
          <w:szCs w:val="22"/>
        </w:rPr>
        <w:t xml:space="preserve">11.2  Class Schedule</w:t>
      </w:r>
    </w:p>
    <w:p>
      <w:pPr>
        <w:spacing w:after="60" w:before="60"/>
      </w:pPr>
      <w:r>
        <w:rPr>
          <w:rFonts w:ascii="Calibri" w:cs="Calibri" w:eastAsia="Calibri" w:hAnsi="Calibri"/>
          <w:color w:val="2A4070"/>
          <w:sz w:val="20"/>
          <w:szCs w:val="20"/>
        </w:rPr>
        <w:t xml:space="preserve">The raw fee maps to a class. Always rounds UP. No discretionary adjustments permitted.</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Raw Fee Range</w:t>
            </w:r>
          </w:p>
        </w:tc>
        <w:tc>
          <w:tcPr>
            <w:tcW w:type="dxa" w:w="312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Class</w:t>
            </w:r>
          </w:p>
        </w:tc>
        <w:tc>
          <w:tcPr>
            <w:tcW w:type="dxa" w:w="312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Amount Charged</w:t>
            </w:r>
          </w:p>
        </w:tc>
      </w:tr>
      <w:tr>
        <w:tc>
          <w:tcPr>
            <w:tcW w:type="dxa" w:w="312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 – $500</w:t>
            </w:r>
          </w:p>
        </w:tc>
        <w:tc>
          <w:tcPr>
            <w:tcW w:type="dxa" w:w="312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Unclassified</w:t>
            </w:r>
          </w:p>
        </w:tc>
        <w:tc>
          <w:tcPr>
            <w:tcW w:type="dxa" w:w="312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$500</w:t>
            </w:r>
          </w:p>
        </w:tc>
      </w:tr>
      <w:tr>
        <w:tc>
          <w:tcPr>
            <w:tcW w:type="dxa" w:w="312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$501 – $1,000</w:t>
            </w:r>
          </w:p>
        </w:tc>
        <w:tc>
          <w:tcPr>
            <w:tcW w:type="dxa" w:w="312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Class 1</w:t>
            </w:r>
          </w:p>
        </w:tc>
        <w:tc>
          <w:tcPr>
            <w:tcW w:type="dxa" w:w="312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$1,000</w:t>
            </w:r>
          </w:p>
        </w:tc>
      </w:tr>
      <w:tr>
        <w:tc>
          <w:tcPr>
            <w:tcW w:type="dxa" w:w="312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$1,001 – $2,000</w:t>
            </w:r>
          </w:p>
        </w:tc>
        <w:tc>
          <w:tcPr>
            <w:tcW w:type="dxa" w:w="312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Class 2</w:t>
            </w:r>
          </w:p>
        </w:tc>
        <w:tc>
          <w:tcPr>
            <w:tcW w:type="dxa" w:w="312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$2,000</w:t>
            </w:r>
          </w:p>
        </w:tc>
      </w:tr>
      <w:tr>
        <w:tc>
          <w:tcPr>
            <w:tcW w:type="dxa" w:w="312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$2,001 – $3,000</w:t>
            </w:r>
          </w:p>
        </w:tc>
        <w:tc>
          <w:tcPr>
            <w:tcW w:type="dxa" w:w="312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Class 3</w:t>
            </w:r>
          </w:p>
        </w:tc>
        <w:tc>
          <w:tcPr>
            <w:tcW w:type="dxa" w:w="312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$3,000</w:t>
            </w:r>
          </w:p>
        </w:tc>
      </w:tr>
      <w:tr>
        <w:tc>
          <w:tcPr>
            <w:tcW w:type="dxa" w:w="312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$3,001 – $4,000</w:t>
            </w:r>
          </w:p>
        </w:tc>
        <w:tc>
          <w:tcPr>
            <w:tcW w:type="dxa" w:w="312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Class 4</w:t>
            </w:r>
          </w:p>
        </w:tc>
        <w:tc>
          <w:tcPr>
            <w:tcW w:type="dxa" w:w="312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$4,000</w:t>
            </w:r>
          </w:p>
        </w:tc>
      </w:tr>
      <w:tr>
        <w:tc>
          <w:tcPr>
            <w:tcW w:type="dxa" w:w="312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 and so on</w:t>
            </w:r>
          </w:p>
        </w:tc>
        <w:tc>
          <w:tcPr>
            <w:tcW w:type="dxa" w:w="312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Class N</w:t>
            </w:r>
          </w:p>
        </w:tc>
        <w:tc>
          <w:tcPr>
            <w:tcW w:type="dxa" w:w="312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$N,000</w:t>
            </w:r>
          </w:p>
        </w:tc>
      </w:tr>
    </w:tbl>
    <w:p>
      <w:pPr>
        <w:spacing w:after="80" w:before="80"/>
      </w:pPr>
    </w:p>
    <w:p>
      <w:pPr>
        <w:pBdr>
          <w:left w:val="single" w:color="0057FF" w:sz="6" w:space="2"/>
        </w:pBdr>
        <w:shd w:fill="EEF2FF" w:val="clear"/>
        <w:spacing w:after="80" w:before="80"/>
        <w:ind w:left="360"/>
      </w:pPr>
      <w:r>
        <w:rPr>
          <w:rFonts w:ascii="Calibri" w:cs="Calibri" w:eastAsia="Calibri" w:hAnsi="Calibri"/>
          <w:i/>
          <w:iCs/>
          <w:color w:val="2A4070"/>
          <w:sz w:val="18"/>
          <w:szCs w:val="18"/>
        </w:rPr>
        <w:t xml:space="preserve">Class number and fee amount are internal to IBT. Not displayed on any public-facing business profile.</w:t>
      </w:r>
    </w:p>
    <w:p>
      <w:pPr>
        <w:spacing w:after="80" w:before="80"/>
      </w:pPr>
    </w:p>
    <w:p>
      <w:pPr>
        <w:spacing w:after="60" w:before="200"/>
      </w:pPr>
      <w:r>
        <w:rPr>
          <w:rFonts w:ascii="Calibri" w:cs="Calibri" w:eastAsia="Calibri" w:hAnsi="Calibri"/>
          <w:b/>
          <w:bCs/>
          <w:color w:val="001E64"/>
          <w:sz w:val="22"/>
          <w:szCs w:val="22"/>
        </w:rPr>
        <w:t xml:space="preserve">11.3  Sample Fees — Generative Tier (I = 1.5, C = 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00"/>
        <w:gridCol w:w="2000"/>
        <w:gridCol w:w="1800"/>
        <w:gridCol w:w="3560"/>
      </w:tblGrid>
      <w:tr>
        <w:trPr>
          <w:tblHeader/>
        </w:trPr>
        <w:tc>
          <w:tcPr>
            <w:tcW w:type="dxa" w:w="12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N</w:t>
            </w:r>
          </w:p>
        </w:tc>
        <w:tc>
          <w:tcPr>
            <w:tcW w:type="dxa" w:w="8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n</w:t>
            </w:r>
          </w:p>
        </w:tc>
        <w:tc>
          <w:tcPr>
            <w:tcW w:type="dxa" w:w="20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Raw Fee</w:t>
            </w:r>
          </w:p>
        </w:tc>
        <w:tc>
          <w:tcPr>
            <w:tcW w:type="dxa" w:w="18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Class</w:t>
            </w:r>
          </w:p>
        </w:tc>
        <w:tc>
          <w:tcPr>
            <w:tcW w:type="dxa" w:w="356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Fee Charged</w:t>
            </w:r>
          </w:p>
        </w:tc>
      </w:tr>
      <w:tr>
        <w:tc>
          <w:tcPr>
            <w:tcW w:type="dxa" w:w="12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8</w:t>
            </w:r>
          </w:p>
        </w:tc>
        <w:tc>
          <w:tcPr>
            <w:tcW w:type="dxa" w:w="2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$645</w:t>
            </w:r>
          </w:p>
        </w:tc>
        <w:tc>
          <w:tcPr>
            <w:tcW w:type="dxa" w:w="1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Class 1</w:t>
            </w:r>
          </w:p>
        </w:tc>
        <w:tc>
          <w:tcPr>
            <w:tcW w:type="dxa" w:w="35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$1,000</w:t>
            </w:r>
          </w:p>
        </w:tc>
      </w:tr>
      <w:tr>
        <w:tc>
          <w:tcPr>
            <w:tcW w:type="dxa" w:w="12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25</w:t>
            </w:r>
          </w:p>
        </w:tc>
        <w:tc>
          <w:tcPr>
            <w:tcW w:type="dxa" w:w="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13</w:t>
            </w:r>
          </w:p>
        </w:tc>
        <w:tc>
          <w:tcPr>
            <w:tcW w:type="dxa" w:w="2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$1,088</w:t>
            </w:r>
          </w:p>
        </w:tc>
        <w:tc>
          <w:tcPr>
            <w:tcW w:type="dxa" w:w="1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Class 2</w:t>
            </w:r>
          </w:p>
        </w:tc>
        <w:tc>
          <w:tcPr>
            <w:tcW w:type="dxa" w:w="35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$2,000</w:t>
            </w:r>
          </w:p>
        </w:tc>
      </w:tr>
      <w:tr>
        <w:tc>
          <w:tcPr>
            <w:tcW w:type="dxa" w:w="12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w:t>
            </w:r>
          </w:p>
        </w:tc>
        <w:tc>
          <w:tcPr>
            <w:tcW w:type="dxa" w:w="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24</w:t>
            </w:r>
          </w:p>
        </w:tc>
        <w:tc>
          <w:tcPr>
            <w:tcW w:type="dxa" w:w="2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$2,250</w:t>
            </w:r>
          </w:p>
        </w:tc>
        <w:tc>
          <w:tcPr>
            <w:tcW w:type="dxa" w:w="1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Class 3</w:t>
            </w:r>
          </w:p>
        </w:tc>
        <w:tc>
          <w:tcPr>
            <w:tcW w:type="dxa" w:w="35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$3,000</w:t>
            </w:r>
          </w:p>
        </w:tc>
      </w:tr>
      <w:tr>
        <w:tc>
          <w:tcPr>
            <w:tcW w:type="dxa" w:w="12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500</w:t>
            </w:r>
          </w:p>
        </w:tc>
        <w:tc>
          <w:tcPr>
            <w:tcW w:type="dxa" w:w="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35</w:t>
            </w:r>
          </w:p>
        </w:tc>
        <w:tc>
          <w:tcPr>
            <w:tcW w:type="dxa" w:w="2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$4,875</w:t>
            </w:r>
          </w:p>
        </w:tc>
        <w:tc>
          <w:tcPr>
            <w:tcW w:type="dxa" w:w="1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Class 5</w:t>
            </w:r>
          </w:p>
        </w:tc>
        <w:tc>
          <w:tcPr>
            <w:tcW w:type="dxa" w:w="35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$5,000</w:t>
            </w:r>
          </w:p>
        </w:tc>
      </w:tr>
      <w:tr>
        <w:tc>
          <w:tcPr>
            <w:tcW w:type="dxa" w:w="12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1,000</w:t>
            </w:r>
          </w:p>
        </w:tc>
        <w:tc>
          <w:tcPr>
            <w:tcW w:type="dxa" w:w="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50</w:t>
            </w:r>
          </w:p>
        </w:tc>
        <w:tc>
          <w:tcPr>
            <w:tcW w:type="dxa" w:w="2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$8,250</w:t>
            </w:r>
          </w:p>
        </w:tc>
        <w:tc>
          <w:tcPr>
            <w:tcW w:type="dxa" w:w="1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Class 9</w:t>
            </w:r>
          </w:p>
        </w:tc>
        <w:tc>
          <w:tcPr>
            <w:tcW w:type="dxa" w:w="35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$9,000</w:t>
            </w:r>
          </w:p>
        </w:tc>
      </w:tr>
      <w:tr>
        <w:tc>
          <w:tcPr>
            <w:tcW w:type="dxa" w:w="12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5,000</w:t>
            </w:r>
          </w:p>
        </w:tc>
        <w:tc>
          <w:tcPr>
            <w:tcW w:type="dxa" w:w="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250</w:t>
            </w:r>
          </w:p>
        </w:tc>
        <w:tc>
          <w:tcPr>
            <w:tcW w:type="dxa" w:w="2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$40,500</w:t>
            </w:r>
          </w:p>
        </w:tc>
        <w:tc>
          <w:tcPr>
            <w:tcW w:type="dxa" w:w="1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Class 41</w:t>
            </w:r>
          </w:p>
        </w:tc>
        <w:tc>
          <w:tcPr>
            <w:tcW w:type="dxa" w:w="35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$41,000</w:t>
            </w:r>
          </w:p>
        </w:tc>
      </w:tr>
      <w:tr>
        <w:tc>
          <w:tcPr>
            <w:tcW w:type="dxa" w:w="12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10,000</w:t>
            </w:r>
          </w:p>
        </w:tc>
        <w:tc>
          <w:tcPr>
            <w:tcW w:type="dxa" w:w="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500</w:t>
            </w:r>
          </w:p>
        </w:tc>
        <w:tc>
          <w:tcPr>
            <w:tcW w:type="dxa" w:w="2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$80,000</w:t>
            </w:r>
          </w:p>
        </w:tc>
        <w:tc>
          <w:tcPr>
            <w:tcW w:type="dxa" w:w="1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Class 80</w:t>
            </w:r>
          </w:p>
        </w:tc>
        <w:tc>
          <w:tcPr>
            <w:tcW w:type="dxa" w:w="35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$80,000</w:t>
            </w:r>
          </w:p>
        </w:tc>
      </w:tr>
    </w:tbl>
    <w:p>
      <w:pPr>
        <w:pBdr>
          <w:bottom w:val="single" w:color="D5DDEE" w:sz="3" w:space="1"/>
        </w:pBdr>
        <w:spacing w:after="160" w:before="160"/>
      </w:pPr>
    </w:p>
    <w:p>
      <w:pPr>
        <w:shd w:fill="001E64" w:val="clear"/>
        <w:spacing w:after="200" w:before="480"/>
      </w:pPr>
      <w:r>
        <w:rPr>
          <w:rFonts w:ascii="Courier New" w:cs="Courier New" w:eastAsia="Courier New" w:hAnsi="Courier New"/>
          <w:b/>
          <w:bCs/>
          <w:color w:val="3B8BFF"/>
          <w:sz w:val="24"/>
          <w:szCs w:val="24"/>
        </w:rPr>
        <w:t xml:space="preserve">  §12  </w:t>
      </w:r>
      <w:r>
        <w:rPr>
          <w:rFonts w:ascii="Garamond" w:cs="Garamond" w:eastAsia="Garamond" w:hAnsi="Garamond"/>
          <w:b/>
          <w:bCs/>
          <w:color w:val="FFFFFF"/>
          <w:sz w:val="24"/>
          <w:szCs w:val="24"/>
        </w:rPr>
        <w:t xml:space="preserve">Response Classification Rules</w:t>
      </w:r>
      <w:r>
        <w:rPr>
          <w:rFonts w:ascii="Calibri" w:cs="Calibri" w:eastAsia="Calibri" w:hAnsi="Calibri"/>
          <w:sz w:val="24"/>
          <w:szCs w:val="24"/>
        </w:rPr>
        <w:t xml:space="preserve">  </w:t>
      </w:r>
    </w:p>
    <w:p>
      <w:pPr>
        <w:spacing w:after="60" w:before="60"/>
      </w:pPr>
      <w:r>
        <w:rPr>
          <w:rFonts w:ascii="Calibri" w:cs="Calibri" w:eastAsia="Calibri" w:hAnsi="Calibri"/>
          <w:color w:val="2A4070"/>
          <w:sz w:val="20"/>
          <w:szCs w:val="20"/>
        </w:rPr>
        <w:t xml:space="preserve">Every response received during the evidence window is classified into exactly one of five categories. Classification determines whether the response counts in any calculation.</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600"/>
        <w:gridCol w:w="6360"/>
      </w:tblGrid>
      <w:tr>
        <w:trPr>
          <w:tblHeader/>
        </w:trPr>
        <w:tc>
          <w:tcPr>
            <w:tcW w:type="dxa" w:w="14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Response Type</w:t>
            </w:r>
          </w:p>
        </w:tc>
        <w:tc>
          <w:tcPr>
            <w:tcW w:type="dxa" w:w="16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Counted As</w:t>
            </w:r>
          </w:p>
        </w:tc>
        <w:tc>
          <w:tcPr>
            <w:tcW w:type="dxa" w:w="636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Notes</w:t>
            </w:r>
          </w:p>
        </w:tc>
      </w:tr>
      <w:tr>
        <w:tc>
          <w:tcPr>
            <w:tcW w:type="dxa" w:w="14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Positive</w:t>
            </w:r>
          </w:p>
        </w:tc>
        <w:tc>
          <w:tcPr>
            <w:tcW w:type="dxa" w:w="1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Verified Positive</w:t>
            </w:r>
          </w:p>
        </w:tc>
        <w:tc>
          <w:tcPr>
            <w:tcW w:type="dxa" w:w="63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Counts toward Standing volume thresholds. Included in ratio gate denominator.</w:t>
            </w:r>
          </w:p>
        </w:tc>
      </w:tr>
      <w:tr>
        <w:tc>
          <w:tcPr>
            <w:tcW w:type="dxa" w:w="14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Negative</w:t>
            </w:r>
          </w:p>
        </w:tc>
        <w:tc>
          <w:tcPr>
            <w:tcW w:type="dxa" w:w="1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Verified Negative</w:t>
            </w:r>
          </w:p>
        </w:tc>
        <w:tc>
          <w:tcPr>
            <w:tcW w:type="dxa" w:w="63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Counts against c and ratio gate. Contributes toward backstop trigger (≥10% of N). Must pass two-layer identity verification to be classified as verified.</w:t>
            </w:r>
          </w:p>
        </w:tc>
      </w:tr>
      <w:tr>
        <w:tc>
          <w:tcPr>
            <w:tcW w:type="dxa" w:w="14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Neutral</w:t>
            </w:r>
          </w:p>
        </w:tc>
        <w:tc>
          <w:tcPr>
            <w:tcW w:type="dxa" w:w="1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Response (not pos/neg)</w:t>
            </w:r>
          </w:p>
        </w:tc>
        <w:tc>
          <w:tcPr>
            <w:tcW w:type="dxa" w:w="63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Counts toward minimum response threshold n. Does not count as positive or negative. Included in ratio gate denominator. Neutral responses are not penalized — preventing a perverse incentive to discourage neutral respondents from completing the survey.</w:t>
            </w:r>
          </w:p>
        </w:tc>
      </w:tr>
      <w:tr>
        <w:tc>
          <w:tcPr>
            <w:tcW w:type="dxa" w:w="14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No Response</w:t>
            </w:r>
          </w:p>
        </w:tc>
        <w:tc>
          <w:tcPr>
            <w:tcW w:type="dxa" w:w="1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Not counted</w:t>
            </w:r>
          </w:p>
        </w:tc>
        <w:tc>
          <w:tcPr>
            <w:tcW w:type="dxa" w:w="63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Non-respondents are excluded from all calculations. If verified responses fall below n by day 90, result is INCOMPLETE. Non-response is never treated as negative.</w:t>
            </w:r>
          </w:p>
        </w:tc>
      </w:tr>
      <w:tr>
        <w:tc>
          <w:tcPr>
            <w:tcW w:type="dxa" w:w="14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Unverifiable</w:t>
            </w:r>
          </w:p>
        </w:tc>
        <w:tc>
          <w:tcPr>
            <w:tcW w:type="dxa" w:w="1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Rejected</w:t>
            </w:r>
          </w:p>
        </w:tc>
        <w:tc>
          <w:tcPr>
            <w:tcW w:type="dxa" w:w="63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Any response failing two-layer identity verification (Stripe Identity + record cross-check) is rejected entirely. Not counted in any calculation. Rejection reason codes logged for audit.</w:t>
            </w:r>
          </w:p>
        </w:tc>
      </w:tr>
    </w:tbl>
    <w:p>
      <w:pPr>
        <w:pBdr>
          <w:bottom w:val="single" w:color="D5DDEE" w:sz="3" w:space="1"/>
        </w:pBdr>
        <w:spacing w:after="160" w:before="160"/>
      </w:pPr>
    </w:p>
    <w:p>
      <w:pPr>
        <w:shd w:fill="001E64" w:val="clear"/>
        <w:spacing w:after="200" w:before="480"/>
      </w:pPr>
      <w:r>
        <w:rPr>
          <w:rFonts w:ascii="Courier New" w:cs="Courier New" w:eastAsia="Courier New" w:hAnsi="Courier New"/>
          <w:b/>
          <w:bCs/>
          <w:color w:val="3B8BFF"/>
          <w:sz w:val="24"/>
          <w:szCs w:val="24"/>
        </w:rPr>
        <w:t xml:space="preserve">  §13  </w:t>
      </w:r>
      <w:r>
        <w:rPr>
          <w:rFonts w:ascii="Garamond" w:cs="Garamond" w:eastAsia="Garamond" w:hAnsi="Garamond"/>
          <w:b/>
          <w:bCs/>
          <w:color w:val="FFFFFF"/>
          <w:sz w:val="24"/>
          <w:szCs w:val="24"/>
        </w:rPr>
        <w:t xml:space="preserve">Survey Instrument Integrity Controls</w:t>
      </w:r>
      <w:r>
        <w:rPr>
          <w:rFonts w:ascii="Calibri" w:cs="Calibri" w:eastAsia="Calibri" w:hAnsi="Calibri"/>
          <w:sz w:val="24"/>
          <w:szCs w:val="24"/>
        </w:rPr>
        <w:t xml:space="preserve">  </w:t>
      </w:r>
    </w:p>
    <w:p>
      <w:pPr>
        <w:spacing w:after="60" w:before="60"/>
      </w:pPr>
      <w:r>
        <w:rPr>
          <w:rFonts w:ascii="Calibri" w:cs="Calibri" w:eastAsia="Calibri" w:hAnsi="Calibri"/>
          <w:color w:val="2A4070"/>
          <w:sz w:val="20"/>
          <w:szCs w:val="20"/>
        </w:rPr>
        <w:t xml:space="preserve">The survey instrument is administered by IBT, never by the business being assessed. The following controls ensure the instrument cannot be manipulated during the evidence window.</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tblHeader/>
        </w:trPr>
        <w:tc>
          <w:tcPr>
            <w:tcW w:type="dxa" w:w="22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Control</w:t>
            </w:r>
          </w:p>
        </w:tc>
        <w:tc>
          <w:tcPr>
            <w:tcW w:type="dxa" w:w="716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Specification</w:t>
            </w:r>
          </w:p>
        </w:tc>
      </w:tr>
      <w:tr>
        <w:tc>
          <w:tcPr>
            <w:tcW w:type="dxa" w:w="22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Access Blackout</w:t>
            </w:r>
          </w:p>
        </w:tc>
        <w:tc>
          <w:tcPr>
            <w:tcW w:type="dxa" w:w="71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Businesses have no access to individual response data during the evidence window. They receive only a final aggregate result report after the Certification Committee decision. This prevents selective follow-up with respondents.</w:t>
            </w:r>
          </w:p>
        </w:tc>
      </w:tr>
      <w:tr>
        <w:tc>
          <w:tcPr>
            <w:tcW w:type="dxa" w:w="22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Instrument Lock</w:t>
            </w:r>
          </w:p>
        </w:tc>
        <w:tc>
          <w:tcPr>
            <w:tcW w:type="dxa" w:w="71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The instrument text and response options are locked at the start of each assessment and cannot be modified mid-assessment by any party, including IBT staff.</w:t>
            </w:r>
          </w:p>
        </w:tc>
      </w:tr>
      <w:tr>
        <w:tc>
          <w:tcPr>
            <w:tcW w:type="dxa" w:w="22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Separation of Duties</w:t>
            </w:r>
          </w:p>
        </w:tc>
        <w:tc>
          <w:tcPr>
            <w:tcW w:type="dxa" w:w="71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Assessment Operations conducts outreach and collects responses. Certification Committee reviews the result report. Neither body can override the other's function.</w:t>
            </w:r>
          </w:p>
        </w:tc>
      </w:tr>
      <w:tr>
        <w:tc>
          <w:tcPr>
            <w:tcW w:type="dxa" w:w="22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Randomized Outreach</w:t>
            </w:r>
          </w:p>
        </w:tc>
        <w:tc>
          <w:tcPr>
            <w:tcW w:type="dxa" w:w="71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Outreach sequence is randomized by IBT via cryptographically-secure RNG after list verification. The business does not know the sequence and cannot pre-contact clients before IBT reaches them. Delivery logs retained as proof of sequence.</w:t>
            </w:r>
          </w:p>
        </w:tc>
      </w:tr>
      <w:tr>
        <w:tc>
          <w:tcPr>
            <w:tcW w:type="dxa" w:w="22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Callback Audit</w:t>
            </w:r>
          </w:p>
        </w:tc>
        <w:tc>
          <w:tcPr>
            <w:tcW w:type="dxa" w:w="71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A random sample of respondents (minimum 5% of total responses, minimum 3 individuals) is contacted post-survey to confirm identity, client relationship, and that their response was not solicited or influenced by the business during the evidence window.</w:t>
            </w:r>
          </w:p>
        </w:tc>
      </w:tr>
    </w:tbl>
    <w:p>
      <w:pPr>
        <w:pBdr>
          <w:bottom w:val="single" w:color="D5DDEE" w:sz="3" w:space="1"/>
        </w:pBdr>
        <w:spacing w:after="160" w:before="160"/>
      </w:pPr>
    </w:p>
    <w:p>
      <w:pPr>
        <w:shd w:fill="001E64" w:val="clear"/>
        <w:spacing w:after="200" w:before="480"/>
      </w:pPr>
      <w:r>
        <w:rPr>
          <w:rFonts w:ascii="Courier New" w:cs="Courier New" w:eastAsia="Courier New" w:hAnsi="Courier New"/>
          <w:b/>
          <w:bCs/>
          <w:color w:val="3B8BFF"/>
          <w:sz w:val="24"/>
          <w:szCs w:val="24"/>
        </w:rPr>
        <w:t xml:space="preserve">  §14  </w:t>
      </w:r>
      <w:r>
        <w:rPr>
          <w:rFonts w:ascii="Garamond" w:cs="Garamond" w:eastAsia="Garamond" w:hAnsi="Garamond"/>
          <w:b/>
          <w:bCs/>
          <w:color w:val="FFFFFF"/>
          <w:sz w:val="24"/>
          <w:szCs w:val="24"/>
        </w:rPr>
        <w:t xml:space="preserve">Nonresponse Bias Controls</w:t>
      </w:r>
      <w:r>
        <w:rPr>
          <w:rFonts w:ascii="Calibri" w:cs="Calibri" w:eastAsia="Calibri" w:hAnsi="Calibri"/>
          <w:sz w:val="24"/>
          <w:szCs w:val="24"/>
        </w:rPr>
        <w:t xml:space="preserve">  </w:t>
      </w:r>
    </w:p>
    <w:p>
      <w:pPr>
        <w:pBdr>
          <w:left w:val="single" w:color="0057FF" w:sz="6" w:space="2"/>
        </w:pBdr>
        <w:shd w:fill="EEF2FF" w:val="clear"/>
        <w:spacing w:after="80" w:before="80"/>
        <w:ind w:left="360"/>
      </w:pPr>
      <w:r>
        <w:rPr>
          <w:rFonts w:ascii="Calibri" w:cs="Calibri" w:eastAsia="Calibri" w:hAnsi="Calibri"/>
          <w:i/>
          <w:iCs/>
          <w:color w:val="2A4070"/>
          <w:sz w:val="18"/>
          <w:szCs w:val="18"/>
        </w:rPr>
        <w:t xml:space="preserve">Research indicates that dissatisfied clients are approximately 2× more likely to respond to satisfaction surveys than satisfied clients (Medill Spiegel Research Center). IBT's controls are designed to mitigate the impact of differential response rates on certification outcomes.</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Control</w:t>
            </w:r>
          </w:p>
        </w:tc>
        <w:tc>
          <w:tcPr>
            <w:tcW w:type="dxa" w:w="676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How It Mitigates Bias</w:t>
            </w:r>
          </w:p>
        </w:tc>
      </w:tr>
      <w:tr>
        <w:tc>
          <w:tcPr>
            <w:tcW w:type="dxa" w:w="2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Dual-Source List Verification</w:t>
            </w:r>
          </w:p>
        </w:tc>
        <w:tc>
          <w:tcPr>
            <w:tcW w:type="dxa" w:w="67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Client list cross-referenced against billing records and CRM data before outreach begins. Prevents selective list submission that omits satisfied clients.</w:t>
            </w:r>
          </w:p>
        </w:tc>
      </w:tr>
      <w:tr>
        <w:tc>
          <w:tcPr>
            <w:tcW w:type="dxa" w:w="2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Randomized Outreach Order</w:t>
            </w:r>
          </w:p>
        </w:tc>
        <w:tc>
          <w:tcPr>
            <w:tcW w:type="dxa" w:w="67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All clients contacted in randomized sequence. Business cannot predict or influence who is contacted first, preventing targeted pre-outreach to favorable clients.</w:t>
            </w:r>
          </w:p>
        </w:tc>
      </w:tr>
      <w:tr>
        <w:tc>
          <w:tcPr>
            <w:tcW w:type="dxa" w:w="2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Delivery Logging</w:t>
            </w:r>
          </w:p>
        </w:tc>
        <w:tc>
          <w:tcPr>
            <w:tcW w:type="dxa" w:w="67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Email and SMS delivery logs maintained as proof of outreach reach. Non-delivery flagged and re-attempted to ensure no systematic exclusion of respondent types.</w:t>
            </w:r>
          </w:p>
        </w:tc>
      </w:tr>
      <w:tr>
        <w:tc>
          <w:tcPr>
            <w:tcW w:type="dxa" w:w="2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Two-Layer Identity Verification</w:t>
            </w:r>
          </w:p>
        </w:tc>
        <w:tc>
          <w:tcPr>
            <w:tcW w:type="dxa" w:w="67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Stripe Identity + record cross-check ensures only genuine clients are counted. Prevents stuffing with false positive responses.</w:t>
            </w:r>
          </w:p>
        </w:tc>
      </w:tr>
      <w:tr>
        <w:tc>
          <w:tcPr>
            <w:tcW w:type="dxa" w:w="2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Post-Survey Callbacks</w:t>
            </w:r>
          </w:p>
        </w:tc>
        <w:tc>
          <w:tcPr>
            <w:tcW w:type="dxa" w:w="67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Confirms responses were not solicited or influenced by the business during the evidence window — addressing potential coercion of favorable responses.</w:t>
            </w:r>
          </w:p>
        </w:tc>
      </w:tr>
    </w:tbl>
    <w:p>
      <w:pPr>
        <w:spacing w:after="80" w:before="80"/>
      </w:pPr>
    </w:p>
    <w:p>
      <w:pPr>
        <w:pBdr>
          <w:left w:val="single" w:color="0057FF" w:sz="6" w:space="2"/>
        </w:pBdr>
        <w:shd w:fill="EEF2FF" w:val="clear"/>
        <w:spacing w:after="80" w:before="80"/>
        <w:ind w:left="360"/>
      </w:pPr>
      <w:r>
        <w:rPr>
          <w:rFonts w:ascii="Calibri" w:cs="Calibri" w:eastAsia="Calibri" w:hAnsi="Calibri"/>
          <w:i/>
          <w:iCs/>
          <w:color w:val="2A4070"/>
          <w:sz w:val="18"/>
          <w:szCs w:val="18"/>
        </w:rPr>
        <w:t xml:space="preserve">Response rate does not affect certification thresholds. The acceptance plan is applied to actual verified responses received. A business that fails to reach n responses within 90 days receives INCOMPLETE — not a fail.</w:t>
      </w:r>
    </w:p>
    <w:p>
      <w:pPr>
        <w:pBdr>
          <w:bottom w:val="single" w:color="D5DDEE" w:sz="3" w:space="1"/>
        </w:pBdr>
        <w:spacing w:after="160" w:before="160"/>
      </w:pPr>
    </w:p>
    <w:p>
      <w:pPr>
        <w:shd w:fill="001E64" w:val="clear"/>
        <w:spacing w:after="200" w:before="480"/>
      </w:pPr>
      <w:r>
        <w:rPr>
          <w:rFonts w:ascii="Courier New" w:cs="Courier New" w:eastAsia="Courier New" w:hAnsi="Courier New"/>
          <w:b/>
          <w:bCs/>
          <w:color w:val="3B8BFF"/>
          <w:sz w:val="24"/>
          <w:szCs w:val="24"/>
        </w:rPr>
        <w:t xml:space="preserve">  §15  </w:t>
      </w:r>
      <w:r>
        <w:rPr>
          <w:rFonts w:ascii="Garamond" w:cs="Garamond" w:eastAsia="Garamond" w:hAnsi="Garamond"/>
          <w:b/>
          <w:bCs/>
          <w:color w:val="FFFFFF"/>
          <w:sz w:val="24"/>
          <w:szCs w:val="24"/>
        </w:rPr>
        <w:t xml:space="preserve">Worked Example: End-to-End Assessment</w:t>
      </w:r>
      <w:r>
        <w:rPr>
          <w:rFonts w:ascii="Calibri" w:cs="Calibri" w:eastAsia="Calibri" w:hAnsi="Calibri"/>
          <w:sz w:val="24"/>
          <w:szCs w:val="24"/>
        </w:rPr>
        <w:t xml:space="preserve">  </w:t>
      </w:r>
    </w:p>
    <w:p>
      <w:pPr>
        <w:spacing w:after="60" w:before="60"/>
      </w:pPr>
      <w:r>
        <w:rPr>
          <w:rFonts w:ascii="Calibri" w:cs="Calibri" w:eastAsia="Calibri" w:hAnsi="Calibri"/>
          <w:color w:val="2A4070"/>
          <w:sz w:val="20"/>
          <w:szCs w:val="20"/>
        </w:rPr>
        <w:t xml:space="preserve">The following traces a complete certification scenario to demonstrate that all methodology components interlock correctly and produce a consistent, auditable result.</w:t>
      </w:r>
    </w:p>
    <w:p>
      <w:pPr>
        <w:spacing w:after="80" w:before="80"/>
      </w:pPr>
    </w:p>
    <w:p>
      <w:pPr>
        <w:spacing w:after="60" w:before="120"/>
      </w:pPr>
      <w:r>
        <w:rPr>
          <w:rFonts w:ascii="Calibri" w:cs="Calibri" w:eastAsia="Calibri" w:hAnsi="Calibri"/>
          <w:color w:val="0057FF"/>
          <w:sz w:val="17"/>
          <w:szCs w:val="17"/>
        </w:rPr>
        <w:t xml:space="preserve">— </w:t>
      </w:r>
      <w:r>
        <w:rPr>
          <w:rFonts w:ascii="Calibri" w:cs="Calibri" w:eastAsia="Calibri" w:hAnsi="Calibri"/>
          <w:b/>
          <w:bCs/>
          <w:color w:val="0057FF"/>
          <w:sz w:val="17"/>
          <w:szCs w:val="17"/>
        </w:rPr>
        <w:t xml:space="preserve">BUSINESS PROFILE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Field</w:t>
            </w:r>
          </w:p>
        </w:tc>
        <w:tc>
          <w:tcPr>
            <w:tcW w:type="dxa" w:w="676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Value</w:t>
            </w:r>
          </w:p>
        </w:tc>
      </w:tr>
      <w:tr>
        <w:tc>
          <w:tcPr>
            <w:tcW w:type="dxa" w:w="2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Business type</w:t>
            </w:r>
          </w:p>
        </w:tc>
        <w:tc>
          <w:tcPr>
            <w:tcW w:type="dxa" w:w="67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Residential roofing contractor</w:t>
            </w:r>
          </w:p>
        </w:tc>
      </w:tr>
      <w:tr>
        <w:tc>
          <w:tcPr>
            <w:tcW w:type="dxa" w:w="2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Industry tier (I)</w:t>
            </w:r>
          </w:p>
        </w:tc>
        <w:tc>
          <w:tcPr>
            <w:tcW w:type="dxa" w:w="67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Fiduciary — 2.0× (health, safety, infrastructure)</w:t>
            </w:r>
          </w:p>
        </w:tc>
      </w:tr>
      <w:tr>
        <w:tc>
          <w:tcPr>
            <w:tcW w:type="dxa" w:w="2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Clients served (N)</w:t>
            </w:r>
          </w:p>
        </w:tc>
        <w:tc>
          <w:tcPr>
            <w:tcW w:type="dxa" w:w="67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234 clients in the last 12 months</w:t>
            </w:r>
          </w:p>
        </w:tc>
      </w:tr>
      <w:tr>
        <w:tc>
          <w:tcPr>
            <w:tcW w:type="dxa" w:w="2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Total revenue</w:t>
            </w:r>
          </w:p>
        </w:tc>
        <w:tc>
          <w:tcPr>
            <w:tcW w:type="dxa" w:w="67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$1,170,000 (last 12 months)</w:t>
            </w:r>
          </w:p>
        </w:tc>
      </w:tr>
      <w:tr>
        <w:tc>
          <w:tcPr>
            <w:tcW w:type="dxa" w:w="2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Avg revenue/client</w:t>
            </w:r>
          </w:p>
        </w:tc>
        <w:tc>
          <w:tcPr>
            <w:tcW w:type="dxa" w:w="67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$1,170,000 ÷ 234 = $5,000/client → Medium band ($2,500–$9,999) → C = 1.0×</w:t>
            </w:r>
          </w:p>
        </w:tc>
      </w:tr>
    </w:tbl>
    <w:p>
      <w:pPr>
        <w:spacing w:after="80" w:before="80"/>
      </w:pPr>
    </w:p>
    <w:p>
      <w:pPr>
        <w:spacing w:after="60" w:before="120"/>
      </w:pPr>
      <w:r>
        <w:rPr>
          <w:rFonts w:ascii="Calibri" w:cs="Calibri" w:eastAsia="Calibri" w:hAnsi="Calibri"/>
          <w:color w:val="0057FF"/>
          <w:sz w:val="17"/>
          <w:szCs w:val="17"/>
        </w:rPr>
        <w:t xml:space="preserve">— </w:t>
      </w:r>
      <w:r>
        <w:rPr>
          <w:rFonts w:ascii="Calibri" w:cs="Calibri" w:eastAsia="Calibri" w:hAnsi="Calibri"/>
          <w:b/>
          <w:bCs/>
          <w:color w:val="0057FF"/>
          <w:sz w:val="17"/>
          <w:szCs w:val="17"/>
        </w:rPr>
        <w:t xml:space="preserve">STEP 1 — ACCEPTANCE PLAN</w:t>
      </w:r>
    </w:p>
    <w:p>
      <w:pPr>
        <w:spacing w:after="60" w:before="60"/>
      </w:pPr>
      <w:r>
        <w:rPr>
          <w:rFonts w:ascii="Calibri" w:cs="Calibri" w:eastAsia="Calibri" w:hAnsi="Calibri"/>
          <w:color w:val="2A4070"/>
          <w:sz w:val="20"/>
          <w:szCs w:val="20"/>
        </w:rPr>
        <w:t xml:space="preserve">N=234. α/β=6% (N in 201–500 band). Proportional floor=0 (N≤500). Hypergeometric solver finds n=30, c=5. Monotonicity check: 30 ≥ n at N=200 (which is 29). ✓</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Parameter</w:t>
            </w:r>
          </w:p>
        </w:tc>
        <w:tc>
          <w:tcPr>
            <w:tcW w:type="dxa" w:w="468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Value</w:t>
            </w:r>
          </w:p>
        </w:tc>
      </w:tr>
      <w:tr>
        <w:tc>
          <w:tcPr>
            <w:tcW w:type="dxa" w:w="46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n (min responses required)</w:t>
            </w:r>
          </w:p>
        </w:tc>
        <w:tc>
          <w:tcPr>
            <w:tcW w:type="dxa" w:w="46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30</w:t>
            </w:r>
          </w:p>
        </w:tc>
      </w:tr>
      <w:tr>
        <w:tc>
          <w:tcPr>
            <w:tcW w:type="dxa" w:w="46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c (max negatives allowed)</w:t>
            </w:r>
          </w:p>
        </w:tc>
        <w:tc>
          <w:tcPr>
            <w:tcW w:type="dxa" w:w="46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w:t>
            </w:r>
          </w:p>
        </w:tc>
      </w:tr>
      <w:tr>
        <w:tc>
          <w:tcPr>
            <w:tcW w:type="dxa" w:w="46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Backstop trigger</w:t>
            </w:r>
          </w:p>
        </w:tc>
        <w:tc>
          <w:tcPr>
            <w:tcW w:type="dxa" w:w="46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 × 234⌉ = 24 negatives</w:t>
            </w:r>
          </w:p>
        </w:tc>
      </w:tr>
      <w:tr>
        <w:tc>
          <w:tcPr>
            <w:tcW w:type="dxa" w:w="46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Ratio gate activates?</w:t>
            </w:r>
          </w:p>
        </w:tc>
        <w:tc>
          <w:tcPr>
            <w:tcW w:type="dxa" w:w="46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Yes — n=30 ≥ 20</w:t>
            </w:r>
          </w:p>
        </w:tc>
      </w:tr>
    </w:tbl>
    <w:p>
      <w:pPr>
        <w:spacing w:after="80" w:before="80"/>
      </w:pPr>
    </w:p>
    <w:p>
      <w:pPr>
        <w:spacing w:after="60" w:before="120"/>
      </w:pPr>
      <w:r>
        <w:rPr>
          <w:rFonts w:ascii="Calibri" w:cs="Calibri" w:eastAsia="Calibri" w:hAnsi="Calibri"/>
          <w:color w:val="0057FF"/>
          <w:sz w:val="17"/>
          <w:szCs w:val="17"/>
        </w:rPr>
        <w:t xml:space="preserve">— </w:t>
      </w:r>
      <w:r>
        <w:rPr>
          <w:rFonts w:ascii="Calibri" w:cs="Calibri" w:eastAsia="Calibri" w:hAnsi="Calibri"/>
          <w:b/>
          <w:bCs/>
          <w:color w:val="0057FF"/>
          <w:sz w:val="17"/>
          <w:szCs w:val="17"/>
        </w:rPr>
        <w:t xml:space="preserve">STEP 2 — EVIDENCE COLLECTION (DAY 90)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Metric</w:t>
            </w:r>
          </w:p>
        </w:tc>
        <w:tc>
          <w:tcPr>
            <w:tcW w:type="dxa" w:w="468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Value</w:t>
            </w:r>
          </w:p>
        </w:tc>
      </w:tr>
      <w:tr>
        <w:tc>
          <w:tcPr>
            <w:tcW w:type="dxa" w:w="46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Total responses received</w:t>
            </w:r>
          </w:p>
        </w:tc>
        <w:tc>
          <w:tcPr>
            <w:tcW w:type="dxa" w:w="46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47</w:t>
            </w:r>
          </w:p>
        </w:tc>
      </w:tr>
      <w:tr>
        <w:tc>
          <w:tcPr>
            <w:tcW w:type="dxa" w:w="46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Verified positive</w:t>
            </w:r>
          </w:p>
        </w:tc>
        <w:tc>
          <w:tcPr>
            <w:tcW w:type="dxa" w:w="46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44</w:t>
            </w:r>
          </w:p>
        </w:tc>
      </w:tr>
      <w:tr>
        <w:tc>
          <w:tcPr>
            <w:tcW w:type="dxa" w:w="46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Verified negative</w:t>
            </w:r>
          </w:p>
        </w:tc>
        <w:tc>
          <w:tcPr>
            <w:tcW w:type="dxa" w:w="46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3</w:t>
            </w:r>
          </w:p>
        </w:tc>
      </w:tr>
      <w:tr>
        <w:tc>
          <w:tcPr>
            <w:tcW w:type="dxa" w:w="46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Response rate</w:t>
            </w:r>
          </w:p>
        </w:tc>
        <w:tc>
          <w:tcPr>
            <w:tcW w:type="dxa" w:w="46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47 ÷ 234 = 20.1%</w:t>
            </w:r>
          </w:p>
        </w:tc>
      </w:tr>
    </w:tbl>
    <w:p>
      <w:pPr>
        <w:spacing w:after="80" w:before="80"/>
      </w:pPr>
    </w:p>
    <w:p>
      <w:pPr>
        <w:spacing w:after="60" w:before="120"/>
      </w:pPr>
      <w:r>
        <w:rPr>
          <w:rFonts w:ascii="Calibri" w:cs="Calibri" w:eastAsia="Calibri" w:hAnsi="Calibri"/>
          <w:color w:val="0057FF"/>
          <w:sz w:val="17"/>
          <w:szCs w:val="17"/>
        </w:rPr>
        <w:t xml:space="preserve">— </w:t>
      </w:r>
      <w:r>
        <w:rPr>
          <w:rFonts w:ascii="Calibri" w:cs="Calibri" w:eastAsia="Calibri" w:hAnsi="Calibri"/>
          <w:b/>
          <w:bCs/>
          <w:color w:val="0057FF"/>
          <w:sz w:val="17"/>
          <w:szCs w:val="17"/>
        </w:rPr>
        <w:t xml:space="preserve">STEP 3 — DECISION LOGIC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960"/>
        <w:gridCol w:w="3000"/>
      </w:tblGrid>
      <w:tr>
        <w:trPr>
          <w:tblHeader/>
        </w:trPr>
        <w:tc>
          <w:tcPr>
            <w:tcW w:type="dxa" w:w="24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Gate</w:t>
            </w:r>
          </w:p>
        </w:tc>
        <w:tc>
          <w:tcPr>
            <w:tcW w:type="dxa" w:w="396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Check</w:t>
            </w:r>
          </w:p>
        </w:tc>
        <w:tc>
          <w:tcPr>
            <w:tcW w:type="dxa" w:w="30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Result</w:t>
            </w:r>
          </w:p>
        </w:tc>
      </w:tr>
      <w:tr>
        <w:tc>
          <w:tcPr>
            <w:tcW w:type="dxa" w:w="24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Backstop</w:t>
            </w:r>
          </w:p>
        </w:tc>
        <w:tc>
          <w:tcPr>
            <w:tcW w:type="dxa" w:w="39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3 negatives vs. trigger of 24</w:t>
            </w:r>
          </w:p>
        </w:tc>
        <w:tc>
          <w:tcPr>
            <w:tcW w:type="dxa" w:w="3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 No automatic fail</w:t>
            </w:r>
          </w:p>
        </w:tc>
      </w:tr>
      <w:tr>
        <w:tc>
          <w:tcPr>
            <w:tcW w:type="dxa" w:w="24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Minimum responses</w:t>
            </w:r>
          </w:p>
        </w:tc>
        <w:tc>
          <w:tcPr>
            <w:tcW w:type="dxa" w:w="39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47 received ≥ n=30</w:t>
            </w:r>
          </w:p>
        </w:tc>
        <w:tc>
          <w:tcPr>
            <w:tcW w:type="dxa" w:w="3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 Sufficient evidence</w:t>
            </w:r>
          </w:p>
        </w:tc>
      </w:tr>
      <w:tr>
        <w:tc>
          <w:tcPr>
            <w:tcW w:type="dxa" w:w="24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Count gate</w:t>
            </w:r>
          </w:p>
        </w:tc>
        <w:tc>
          <w:tcPr>
            <w:tcW w:type="dxa" w:w="39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3 negatives ≤ c=5</w:t>
            </w:r>
          </w:p>
        </w:tc>
        <w:tc>
          <w:tcPr>
            <w:tcW w:type="dxa" w:w="3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 PASS</w:t>
            </w:r>
          </w:p>
        </w:tc>
      </w:tr>
      <w:tr>
        <w:tc>
          <w:tcPr>
            <w:tcW w:type="dxa" w:w="24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Ratio gate</w:t>
            </w:r>
          </w:p>
        </w:tc>
        <w:tc>
          <w:tcPr>
            <w:tcW w:type="dxa" w:w="39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3÷47 = 6.4% ≤ 10% AQL</w:t>
            </w:r>
          </w:p>
        </w:tc>
        <w:tc>
          <w:tcPr>
            <w:tcW w:type="dxa" w:w="30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 PASS</w:t>
            </w:r>
          </w:p>
        </w:tc>
      </w:tr>
      <w:tr>
        <w:tc>
          <w:tcPr>
            <w:tcW w:type="dxa" w:w="24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Decision</w:t>
            </w:r>
          </w:p>
        </w:tc>
        <w:tc>
          <w:tcPr>
            <w:tcW w:type="dxa" w:w="39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30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PASS</w:t>
            </w:r>
          </w:p>
        </w:tc>
      </w:tr>
    </w:tbl>
    <w:p>
      <w:pPr>
        <w:spacing w:after="80" w:before="80"/>
      </w:pPr>
    </w:p>
    <w:p>
      <w:pPr>
        <w:spacing w:after="60" w:before="120"/>
      </w:pPr>
      <w:r>
        <w:rPr>
          <w:rFonts w:ascii="Calibri" w:cs="Calibri" w:eastAsia="Calibri" w:hAnsi="Calibri"/>
          <w:color w:val="0057FF"/>
          <w:sz w:val="17"/>
          <w:szCs w:val="17"/>
        </w:rPr>
        <w:t xml:space="preserve">— </w:t>
      </w:r>
      <w:r>
        <w:rPr>
          <w:rFonts w:ascii="Calibri" w:cs="Calibri" w:eastAsia="Calibri" w:hAnsi="Calibri"/>
          <w:b/>
          <w:bCs/>
          <w:color w:val="0057FF"/>
          <w:sz w:val="17"/>
          <w:szCs w:val="17"/>
        </w:rPr>
        <w:t xml:space="preserve">STEP 4 — STANDING EVALUATION</w:t>
      </w:r>
    </w:p>
    <w:p>
      <w:pPr>
        <w:spacing w:after="60" w:before="60"/>
      </w:pPr>
      <w:r>
        <w:rPr>
          <w:rFonts w:ascii="Calibri" w:cs="Calibri" w:eastAsia="Calibri" w:hAnsi="Calibri"/>
          <w:color w:val="2A4070"/>
          <w:sz w:val="20"/>
          <w:szCs w:val="20"/>
        </w:rPr>
        <w:t xml:space="preserve">Standing thresholds based on n=30. Business received 44 verified positives. Positive ratio = 44÷47 = 93.6%.</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400"/>
        <w:gridCol w:w="1800"/>
        <w:gridCol w:w="3760"/>
      </w:tblGrid>
      <w:tr>
        <w:trPr>
          <w:tblHeader/>
        </w:trPr>
        <w:tc>
          <w:tcPr>
            <w:tcW w:type="dxa" w:w="14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Standing</w:t>
            </w:r>
          </w:p>
        </w:tc>
        <w:tc>
          <w:tcPr>
            <w:tcW w:type="dxa" w:w="24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Volume required</w:t>
            </w:r>
          </w:p>
        </w:tc>
        <w:tc>
          <w:tcPr>
            <w:tcW w:type="dxa" w:w="18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Ratio required</w:t>
            </w:r>
          </w:p>
        </w:tc>
        <w:tc>
          <w:tcPr>
            <w:tcW w:type="dxa" w:w="376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Met?</w:t>
            </w:r>
          </w:p>
        </w:tc>
      </w:tr>
      <w:tr>
        <w:tc>
          <w:tcPr>
            <w:tcW w:type="dxa" w:w="14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Bronze</w:t>
            </w:r>
          </w:p>
        </w:tc>
        <w:tc>
          <w:tcPr>
            <w:tcW w:type="dxa" w:w="24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≥30 positives</w:t>
            </w:r>
          </w:p>
        </w:tc>
        <w:tc>
          <w:tcPr>
            <w:tcW w:type="dxa" w:w="1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≥80%</w:t>
            </w:r>
          </w:p>
        </w:tc>
        <w:tc>
          <w:tcPr>
            <w:tcW w:type="dxa" w:w="37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 44≥30, 93.6%≥80%</w:t>
            </w:r>
          </w:p>
        </w:tc>
      </w:tr>
      <w:tr>
        <w:tc>
          <w:tcPr>
            <w:tcW w:type="dxa" w:w="14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Silver</w:t>
            </w:r>
          </w:p>
        </w:tc>
        <w:tc>
          <w:tcPr>
            <w:tcW w:type="dxa" w:w="24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≥⌈1.5×30⌉=45 positives</w:t>
            </w:r>
          </w:p>
        </w:tc>
        <w:tc>
          <w:tcPr>
            <w:tcW w:type="dxa" w:w="1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≥85%</w:t>
            </w:r>
          </w:p>
        </w:tc>
        <w:tc>
          <w:tcPr>
            <w:tcW w:type="dxa" w:w="37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 44&lt;45 (volume insufficient)</w:t>
            </w:r>
          </w:p>
        </w:tc>
      </w:tr>
      <w:tr>
        <w:tc>
          <w:tcPr>
            <w:tcW w:type="dxa" w:w="14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Gold</w:t>
            </w:r>
          </w:p>
        </w:tc>
        <w:tc>
          <w:tcPr>
            <w:tcW w:type="dxa" w:w="24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≥⌈2.0×30⌉=60 positives</w:t>
            </w:r>
          </w:p>
        </w:tc>
        <w:tc>
          <w:tcPr>
            <w:tcW w:type="dxa" w:w="1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≥90%</w:t>
            </w:r>
          </w:p>
        </w:tc>
        <w:tc>
          <w:tcPr>
            <w:tcW w:type="dxa" w:w="37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r>
      <w:tr>
        <w:tc>
          <w:tcPr>
            <w:tcW w:type="dxa" w:w="14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Platinum</w:t>
            </w:r>
          </w:p>
        </w:tc>
        <w:tc>
          <w:tcPr>
            <w:tcW w:type="dxa" w:w="24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≥⌈3.0×30⌉=90 positives</w:t>
            </w:r>
          </w:p>
        </w:tc>
        <w:tc>
          <w:tcPr>
            <w:tcW w:type="dxa" w:w="1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≥95%</w:t>
            </w:r>
          </w:p>
        </w:tc>
        <w:tc>
          <w:tcPr>
            <w:tcW w:type="dxa" w:w="37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w:t>
            </w:r>
          </w:p>
        </w:tc>
      </w:tr>
      <w:tr>
        <w:tc>
          <w:tcPr>
            <w:tcW w:type="dxa" w:w="14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Awarded</w:t>
            </w:r>
          </w:p>
        </w:tc>
        <w:tc>
          <w:tcPr>
            <w:tcW w:type="dxa" w:w="24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1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37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BRONZE</w:t>
            </w:r>
          </w:p>
        </w:tc>
      </w:tr>
    </w:tbl>
    <w:p>
      <w:pPr>
        <w:pBdr>
          <w:left w:val="single" w:color="0057FF" w:sz="6" w:space="2"/>
        </w:pBdr>
        <w:shd w:fill="EEF2FF" w:val="clear"/>
        <w:spacing w:after="80" w:before="80"/>
        <w:ind w:left="360"/>
      </w:pPr>
      <w:r>
        <w:rPr>
          <w:rFonts w:ascii="Calibri" w:cs="Calibri" w:eastAsia="Calibri" w:hAnsi="Calibri"/>
          <w:i/>
          <w:iCs/>
          <w:color w:val="2A4070"/>
          <w:sz w:val="18"/>
          <w:szCs w:val="18"/>
        </w:rPr>
        <w:t xml:space="preserve">The positive ratio of 93.6% would satisfy Gold's ratio requirement — but the volume threshold of 60 was not met. A strong ratio on a thin sample does not earn a higher Standing. The business would need more responses by day 90 to advance.</w:t>
      </w:r>
    </w:p>
    <w:p>
      <w:pPr>
        <w:spacing w:after="80" w:before="80"/>
      </w:pPr>
    </w:p>
    <w:p>
      <w:pPr>
        <w:spacing w:after="60" w:before="120"/>
      </w:pPr>
      <w:r>
        <w:rPr>
          <w:rFonts w:ascii="Calibri" w:cs="Calibri" w:eastAsia="Calibri" w:hAnsi="Calibri"/>
          <w:color w:val="0057FF"/>
          <w:sz w:val="17"/>
          <w:szCs w:val="17"/>
        </w:rPr>
        <w:t xml:space="preserve">— </w:t>
      </w:r>
      <w:r>
        <w:rPr>
          <w:rFonts w:ascii="Calibri" w:cs="Calibri" w:eastAsia="Calibri" w:hAnsi="Calibri"/>
          <w:b/>
          <w:bCs/>
          <w:color w:val="0057FF"/>
          <w:sz w:val="17"/>
          <w:szCs w:val="17"/>
        </w:rPr>
        <w:t xml:space="preserve">STEP 5 — FEE CALCULATION</w:t>
      </w:r>
    </w:p>
    <w:p>
      <w:pPr>
        <w:pBdr>
          <w:top w:val="single" w:color="0057FF" w:sz="2" w:space="1"/>
        </w:pBdr>
        <w:shd w:fill="F0F2FA" w:val="clear"/>
        <w:spacing w:after="0" w:before="120"/>
        <w:ind w:left="360"/>
      </w:pPr>
    </w:p>
    <w:p>
      <w:pPr>
        <w:shd w:fill="F0F2FA" w:val="clear"/>
        <w:spacing w:after="0" w:before="0"/>
        <w:ind w:left="360" w:right="200"/>
      </w:pPr>
      <w:r>
        <w:rPr>
          <w:rFonts w:ascii="Courier New" w:cs="Courier New" w:eastAsia="Courier New" w:hAnsi="Courier New"/>
          <w:color w:val="001E64"/>
          <w:sz w:val="18"/>
          <w:szCs w:val="18"/>
        </w:rPr>
        <w:t xml:space="preserve">Raw fee = (30 × $50 + 234 × $3) × 2.0 × 1.0</w:t>
      </w:r>
    </w:p>
    <w:p>
      <w:pPr>
        <w:shd w:fill="F0F2FA" w:val="clear"/>
        <w:spacing w:after="0" w:before="0"/>
        <w:ind w:left="360" w:right="200"/>
      </w:pPr>
      <w:r>
        <w:rPr>
          <w:rFonts w:ascii="Courier New" w:cs="Courier New" w:eastAsia="Courier New" w:hAnsi="Courier New"/>
          <w:color w:val="001E64"/>
          <w:sz w:val="18"/>
          <w:szCs w:val="18"/>
        </w:rPr>
        <w:t xml:space="preserve">       = ($1,500 + $702) × 2.0</w:t>
      </w:r>
    </w:p>
    <w:p>
      <w:pPr>
        <w:shd w:fill="F0F2FA" w:val="clear"/>
        <w:spacing w:after="0" w:before="0"/>
        <w:ind w:left="360" w:right="200"/>
      </w:pPr>
      <w:r>
        <w:rPr>
          <w:rFonts w:ascii="Courier New" w:cs="Courier New" w:eastAsia="Courier New" w:hAnsi="Courier New"/>
          <w:color w:val="001E64"/>
          <w:sz w:val="18"/>
          <w:szCs w:val="18"/>
        </w:rPr>
        <w:t xml:space="preserve">       = $2,202 × 2.0 = $4,404  →  Class 5  →  $5,000</w:t>
      </w:r>
    </w:p>
    <w:p>
      <w:pPr>
        <w:pBdr>
          <w:bottom w:val="single" w:color="0057FF" w:sz="2" w:space="1"/>
        </w:pBdr>
        <w:shd w:fill="F0F2FA" w:val="clear"/>
        <w:spacing w:after="120" w:before="0"/>
        <w:ind w:left="360"/>
      </w:pPr>
    </w:p>
    <w:p>
      <w:pPr>
        <w:spacing w:after="80" w:before="80"/>
      </w:pPr>
    </w:p>
    <w:p>
      <w:pPr>
        <w:pBdr>
          <w:left w:val="single" w:color="0057FF" w:sz="6" w:space="2"/>
        </w:pBdr>
        <w:shd w:fill="EEF2FF" w:val="clear"/>
        <w:spacing w:after="80" w:before="80"/>
        <w:ind w:left="360"/>
      </w:pPr>
      <w:r>
        <w:rPr>
          <w:rFonts w:ascii="Calibri" w:cs="Calibri" w:eastAsia="Calibri" w:hAnsi="Calibri"/>
          <w:i/>
          <w:iCs/>
          <w:color w:val="2A4070"/>
          <w:sz w:val="18"/>
          <w:szCs w:val="18"/>
        </w:rPr>
        <w:t xml:space="preserve">Result: Fiduciary roofing contractor, N=234, Bronze Standing, assessment fee $5,000. The 93.6% positive rate is well above the AQL floor. False-pass risk at this dissatisfaction level is well below the 6% β threshold for this N band.</w:t>
      </w:r>
    </w:p>
    <w:p>
      <w:pPr>
        <w:pBdr>
          <w:bottom w:val="single" w:color="D5DDEE" w:sz="3" w:space="1"/>
        </w:pBdr>
        <w:spacing w:after="160" w:before="160"/>
      </w:pPr>
    </w:p>
    <w:p>
      <w:pPr>
        <w:shd w:fill="001E64" w:val="clear"/>
        <w:spacing w:after="200" w:before="480"/>
      </w:pPr>
      <w:r>
        <w:rPr>
          <w:rFonts w:ascii="Courier New" w:cs="Courier New" w:eastAsia="Courier New" w:hAnsi="Courier New"/>
          <w:b/>
          <w:bCs/>
          <w:color w:val="3B8BFF"/>
          <w:sz w:val="24"/>
          <w:szCs w:val="24"/>
        </w:rPr>
        <w:t xml:space="preserve">  §16  </w:t>
      </w:r>
      <w:r>
        <w:rPr>
          <w:rFonts w:ascii="Garamond" w:cs="Garamond" w:eastAsia="Garamond" w:hAnsi="Garamond"/>
          <w:b/>
          <w:bCs/>
          <w:color w:val="FFFFFF"/>
          <w:sz w:val="24"/>
          <w:szCs w:val="24"/>
        </w:rPr>
        <w:t xml:space="preserve">Certificate Validity, Expiry &amp; Renewal</w:t>
      </w:r>
      <w:r>
        <w:rPr>
          <w:rFonts w:ascii="Calibri" w:cs="Calibri" w:eastAsia="Calibri" w:hAnsi="Calibri"/>
          <w:sz w:val="24"/>
          <w:szCs w:val="24"/>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tblHeader/>
        </w:trPr>
        <w:tc>
          <w:tcPr>
            <w:tcW w:type="dxa" w:w="22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Topic</w:t>
            </w:r>
          </w:p>
        </w:tc>
        <w:tc>
          <w:tcPr>
            <w:tcW w:type="dxa" w:w="716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Policy</w:t>
            </w:r>
          </w:p>
        </w:tc>
      </w:tr>
      <w:tr>
        <w:tc>
          <w:tcPr>
            <w:tcW w:type="dxa" w:w="22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Validity Period</w:t>
            </w:r>
          </w:p>
        </w:tc>
        <w:tc>
          <w:tcPr>
            <w:tcW w:type="dxa" w:w="71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Every IBT certificate is valid for 12 months from the date of issuance. The certificate displays an explicit expiry date. After expiry, IBT's registry marks the certification as expired. Displaying an expired certificate as current is a terms violation reportable to the Impartiality Board.</w:t>
            </w:r>
          </w:p>
        </w:tc>
      </w:tr>
      <w:tr>
        <w:tc>
          <w:tcPr>
            <w:tcW w:type="dxa" w:w="22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Renewal Process</w:t>
            </w:r>
          </w:p>
        </w:tc>
        <w:tc>
          <w:tcPr>
            <w:tcW w:type="dxa" w:w="71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Renewal is a full re-assessment. No expedited or legacy renewal tracks. Each renewal resets N to clients served in the 12 months preceding the new application date, recomputes the acceptance plan for that N, and runs the full evidence collection and decision process from scratch. Prior certification history does not affect the renewal assessment.</w:t>
            </w:r>
          </w:p>
        </w:tc>
      </w:tr>
      <w:tr>
        <w:tc>
          <w:tcPr>
            <w:tcW w:type="dxa" w:w="22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Early Renewal Window</w:t>
            </w:r>
          </w:p>
        </w:tc>
        <w:tc>
          <w:tcPr>
            <w:tcW w:type="dxa" w:w="71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Businesses may submit a renewal application up to 60 days before their current certificate expires. If a renewal application is active when the current certificate expires, the business may display a 'Renewal Pending' status indicator.</w:t>
            </w:r>
          </w:p>
        </w:tc>
      </w:tr>
      <w:tr>
        <w:tc>
          <w:tcPr>
            <w:tcW w:type="dxa" w:w="22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Lapsed Certificates</w:t>
            </w:r>
          </w:p>
        </w:tc>
        <w:tc>
          <w:tcPr>
            <w:tcW w:type="dxa" w:w="71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If no renewal application is active at expiry, the certificate lapses immediately. There is no grace period for lapsed certificates.</w:t>
            </w:r>
          </w:p>
        </w:tc>
      </w:tr>
      <w:tr>
        <w:tc>
          <w:tcPr>
            <w:tcW w:type="dxa" w:w="22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Failed Renewal</w:t>
            </w:r>
          </w:p>
        </w:tc>
        <w:tc>
          <w:tcPr>
            <w:tcW w:type="dxa" w:w="71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A failed renewal revokes the current certificate immediately upon the Certification Committee's determination, regardless of remaining validity. IBT's registry is updated within 24 hours of a revocation decision. The business may reapply after 90 days.</w:t>
            </w:r>
          </w:p>
        </w:tc>
      </w:tr>
    </w:tbl>
    <w:p>
      <w:pPr>
        <w:pBdr>
          <w:bottom w:val="single" w:color="D5DDEE" w:sz="3" w:space="1"/>
        </w:pBdr>
        <w:spacing w:after="160" w:before="160"/>
      </w:pPr>
    </w:p>
    <w:p>
      <w:pPr>
        <w:shd w:fill="001E64" w:val="clear"/>
        <w:spacing w:after="200" w:before="480"/>
      </w:pPr>
      <w:r>
        <w:rPr>
          <w:rFonts w:ascii="Courier New" w:cs="Courier New" w:eastAsia="Courier New" w:hAnsi="Courier New"/>
          <w:b/>
          <w:bCs/>
          <w:color w:val="3B8BFF"/>
          <w:sz w:val="24"/>
          <w:szCs w:val="24"/>
        </w:rPr>
        <w:t xml:space="preserve">  §17  </w:t>
      </w:r>
      <w:r>
        <w:rPr>
          <w:rFonts w:ascii="Garamond" w:cs="Garamond" w:eastAsia="Garamond" w:hAnsi="Garamond"/>
          <w:b/>
          <w:bCs/>
          <w:color w:val="FFFFFF"/>
          <w:sz w:val="24"/>
          <w:szCs w:val="24"/>
        </w:rPr>
        <w:t xml:space="preserve">Appeals: Grounds, Process &amp; Outcomes</w:t>
      </w:r>
      <w:r>
        <w:rPr>
          <w:rFonts w:ascii="Calibri" w:cs="Calibri" w:eastAsia="Calibri" w:hAnsi="Calibri"/>
          <w:sz w:val="24"/>
          <w:szCs w:val="24"/>
        </w:rPr>
        <w:t xml:space="preserve">  </w:t>
      </w:r>
    </w:p>
    <w:p>
      <w:pPr>
        <w:pBdr>
          <w:left w:val="single" w:color="0057FF" w:sz="6" w:space="2"/>
        </w:pBdr>
        <w:shd w:fill="EEF2FF" w:val="clear"/>
        <w:spacing w:after="80" w:before="80"/>
        <w:ind w:left="360"/>
      </w:pPr>
      <w:r>
        <w:rPr>
          <w:rFonts w:ascii="Calibri" w:cs="Calibri" w:eastAsia="Calibri" w:hAnsi="Calibri"/>
          <w:i/>
          <w:iCs/>
          <w:color w:val="2A4070"/>
          <w:sz w:val="18"/>
          <w:szCs w:val="18"/>
        </w:rPr>
        <w:t xml:space="preserve">Appeals are procedural reviews, not re-assessments. The Impartiality Board does not re-run the statistical calculation or re-collect evidence. It reviews whether the assessment was conducted in accordance with this specification.</w:t>
      </w:r>
    </w:p>
    <w:p>
      <w:pPr>
        <w:spacing w:after="80" w:before="80"/>
      </w:pPr>
    </w:p>
    <w:p>
      <w:pPr>
        <w:spacing w:after="60" w:before="200"/>
      </w:pPr>
      <w:r>
        <w:rPr>
          <w:rFonts w:ascii="Calibri" w:cs="Calibri" w:eastAsia="Calibri" w:hAnsi="Calibri"/>
          <w:b/>
          <w:bCs/>
          <w:color w:val="001E64"/>
          <w:sz w:val="22"/>
          <w:szCs w:val="22"/>
        </w:rPr>
        <w:t xml:space="preserve">17.1  Valid Grounds (Exhaustive)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Ground</w:t>
            </w:r>
          </w:p>
        </w:tc>
        <w:tc>
          <w:tcPr>
            <w:tcW w:type="dxa" w:w="696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Description</w:t>
            </w:r>
          </w:p>
        </w:tc>
      </w:tr>
      <w:tr>
        <w:tc>
          <w:tcPr>
            <w:tcW w:type="dxa" w:w="24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Procedural Error</w:t>
            </w:r>
          </w:p>
        </w:tc>
        <w:tc>
          <w:tcPr>
            <w:tcW w:type="dxa" w:w="69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The Assessment Team deviated from published procedure — e.g., incorrect N used, wrong acceptance plan applied, outreach not randomized.</w:t>
            </w:r>
          </w:p>
        </w:tc>
      </w:tr>
      <w:tr>
        <w:tc>
          <w:tcPr>
            <w:tcW w:type="dxa" w:w="24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Identity Verification Error</w:t>
            </w:r>
          </w:p>
        </w:tc>
        <w:tc>
          <w:tcPr>
            <w:tcW w:type="dxa" w:w="69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A verified negative is demonstrated to have failed identity verification that was incorrectly passed, or a legitimate client was incorrectly rejected during list verification.</w:t>
            </w:r>
          </w:p>
        </w:tc>
      </w:tr>
      <w:tr>
        <w:tc>
          <w:tcPr>
            <w:tcW w:type="dxa" w:w="24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Conflict of Interest</w:t>
            </w:r>
          </w:p>
        </w:tc>
        <w:tc>
          <w:tcPr>
            <w:tcW w:type="dxa" w:w="69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A member of the Assessment Team or Certification Committee had an undisclosed financial or personal relationship with the business or any respondent.</w:t>
            </w:r>
          </w:p>
        </w:tc>
      </w:tr>
    </w:tbl>
    <w:p>
      <w:pPr>
        <w:pBdr>
          <w:left w:val="single" w:color="0057FF" w:sz="6" w:space="2"/>
        </w:pBdr>
        <w:shd w:fill="EEF2FF" w:val="clear"/>
        <w:spacing w:after="80" w:before="80"/>
        <w:ind w:left="360"/>
      </w:pPr>
      <w:r>
        <w:rPr>
          <w:rFonts w:ascii="Calibri" w:cs="Calibri" w:eastAsia="Calibri" w:hAnsi="Calibri"/>
          <w:i/>
          <w:iCs/>
          <w:color w:val="2A4070"/>
          <w:sz w:val="18"/>
          <w:szCs w:val="18"/>
        </w:rPr>
        <w:t xml:space="preserve">Appeals that dispute the statistical outcome ('we disagree that our negative rate is too high') are not valid grounds. The mathematical output is not subject to appeal.</w:t>
      </w:r>
    </w:p>
    <w:p>
      <w:pPr>
        <w:spacing w:after="80" w:before="80"/>
      </w:pPr>
    </w:p>
    <w:p>
      <w:pPr>
        <w:spacing w:after="60" w:before="200"/>
      </w:pPr>
      <w:r>
        <w:rPr>
          <w:rFonts w:ascii="Calibri" w:cs="Calibri" w:eastAsia="Calibri" w:hAnsi="Calibri"/>
          <w:b/>
          <w:bCs/>
          <w:color w:val="001E64"/>
          <w:sz w:val="22"/>
          <w:szCs w:val="22"/>
        </w:rPr>
        <w:t xml:space="preserve">17.2  Timeline &amp; Outcomes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Stage</w:t>
            </w:r>
          </w:p>
        </w:tc>
        <w:tc>
          <w:tcPr>
            <w:tcW w:type="dxa" w:w="696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Detail</w:t>
            </w:r>
          </w:p>
        </w:tc>
      </w:tr>
      <w:tr>
        <w:tc>
          <w:tcPr>
            <w:tcW w:type="dxa" w:w="24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Filing deadline</w:t>
            </w:r>
          </w:p>
        </w:tc>
        <w:tc>
          <w:tcPr>
            <w:tcW w:type="dxa" w:w="69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Within 30 days of the FAIL determination. Appeals filed after this window are not accepted.</w:t>
            </w:r>
          </w:p>
        </w:tc>
      </w:tr>
      <w:tr>
        <w:tc>
          <w:tcPr>
            <w:tcW w:type="dxa" w:w="24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Review period</w:t>
            </w:r>
          </w:p>
        </w:tc>
        <w:tc>
          <w:tcPr>
            <w:tcW w:type="dxa" w:w="69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Impartiality Board issues a decision within 45 days of receiving a complete appeal filing. May request documentation from the Assessment Team and Committee.</w:t>
            </w:r>
          </w:p>
        </w:tc>
      </w:tr>
      <w:tr>
        <w:tc>
          <w:tcPr>
            <w:tcW w:type="dxa" w:w="24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Outcome: Denied</w:t>
            </w:r>
          </w:p>
        </w:tc>
        <w:tc>
          <w:tcPr>
            <w:tcW w:type="dxa" w:w="69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Original FAIL stands. Business may reapply after 90 days.</w:t>
            </w:r>
          </w:p>
        </w:tc>
      </w:tr>
      <w:tr>
        <w:tc>
          <w:tcPr>
            <w:tcW w:type="dxa" w:w="24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Outcome: Upheld</w:t>
            </w:r>
          </w:p>
        </w:tc>
        <w:tc>
          <w:tcPr>
            <w:tcW w:type="dxa" w:w="69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Procedural error confirmed. Assessment is voided and re-run at no additional cost with corrected procedure.</w:t>
            </w:r>
          </w:p>
        </w:tc>
      </w:tr>
      <w:tr>
        <w:tc>
          <w:tcPr>
            <w:tcW w:type="dxa" w:w="24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Outcome: Partial Uphold</w:t>
            </w:r>
          </w:p>
        </w:tc>
        <w:tc>
          <w:tcPr>
            <w:tcW w:type="dxa" w:w="69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Specific responses or records are corrected, decision logic re-applied to corrected data, and a new determination is issued.</w:t>
            </w:r>
          </w:p>
        </w:tc>
      </w:tr>
      <w:tr>
        <w:tc>
          <w:tcPr>
            <w:tcW w:type="dxa" w:w="24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Finality</w:t>
            </w:r>
          </w:p>
        </w:tc>
        <w:tc>
          <w:tcPr>
            <w:tcW w:type="dxa" w:w="69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The Impartiality Board's decision is final within IBT's process. All decisions published in anonymized form in the annual audit report.</w:t>
            </w:r>
          </w:p>
        </w:tc>
      </w:tr>
    </w:tbl>
    <w:p>
      <w:pPr>
        <w:pBdr>
          <w:bottom w:val="single" w:color="D5DDEE" w:sz="3" w:space="1"/>
        </w:pBdr>
        <w:spacing w:after="160" w:before="160"/>
      </w:pPr>
    </w:p>
    <w:p>
      <w:pPr>
        <w:shd w:fill="001E64" w:val="clear"/>
        <w:spacing w:after="200" w:before="480"/>
      </w:pPr>
      <w:r>
        <w:rPr>
          <w:rFonts w:ascii="Courier New" w:cs="Courier New" w:eastAsia="Courier New" w:hAnsi="Courier New"/>
          <w:b/>
          <w:bCs/>
          <w:color w:val="3B8BFF"/>
          <w:sz w:val="24"/>
          <w:szCs w:val="24"/>
        </w:rPr>
        <w:t xml:space="preserve">  §18  </w:t>
      </w:r>
      <w:r>
        <w:rPr>
          <w:rFonts w:ascii="Garamond" w:cs="Garamond" w:eastAsia="Garamond" w:hAnsi="Garamond"/>
          <w:b/>
          <w:bCs/>
          <w:color w:val="FFFFFF"/>
          <w:sz w:val="24"/>
          <w:szCs w:val="24"/>
        </w:rPr>
        <w:t xml:space="preserve">Response Rate Reference</w:t>
      </w:r>
      <w:r>
        <w:rPr>
          <w:rFonts w:ascii="Calibri" w:cs="Calibri" w:eastAsia="Calibri" w:hAnsi="Calibri"/>
          <w:sz w:val="24"/>
          <w:szCs w:val="24"/>
        </w:rPr>
        <w:t xml:space="preserve">  </w:t>
      </w:r>
    </w:p>
    <w:p>
      <w:pPr>
        <w:pBdr>
          <w:left w:val="single" w:color="0057FF" w:sz="6" w:space="2"/>
        </w:pBdr>
        <w:shd w:fill="EEF2FF" w:val="clear"/>
        <w:spacing w:after="80" w:before="80"/>
        <w:ind w:left="360"/>
      </w:pPr>
      <w:r>
        <w:rPr>
          <w:rFonts w:ascii="Calibri" w:cs="Calibri" w:eastAsia="Calibri" w:hAnsi="Calibri"/>
          <w:i/>
          <w:iCs/>
          <w:color w:val="2A4070"/>
          <w:sz w:val="18"/>
          <w:szCs w:val="18"/>
        </w:rPr>
        <w:t xml:space="preserve">Response rates do not affect certification thresholds. The acceptance plan is applied to actual verified responses received. This data is provided for operational planning purposes only.</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200"/>
        <w:gridCol w:w="4960"/>
      </w:tblGrid>
      <w:tr>
        <w:trPr>
          <w:tblHeader/>
        </w:trPr>
        <w:tc>
          <w:tcPr>
            <w:tcW w:type="dxa" w:w="32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Scenario</w:t>
            </w:r>
          </w:p>
        </w:tc>
        <w:tc>
          <w:tcPr>
            <w:tcW w:type="dxa" w:w="12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Expected Rate</w:t>
            </w:r>
          </w:p>
        </w:tc>
        <w:tc>
          <w:tcPr>
            <w:tcW w:type="dxa" w:w="496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Source</w:t>
            </w:r>
          </w:p>
        </w:tc>
      </w:tr>
      <w:tr>
        <w:tc>
          <w:tcPr>
            <w:tcW w:type="dxa" w:w="32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Conservative B2B warm outreach</w:t>
            </w:r>
          </w:p>
        </w:tc>
        <w:tc>
          <w:tcPr>
            <w:tcW w:type="dxa" w:w="12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~25%</w:t>
            </w:r>
          </w:p>
        </w:tc>
        <w:tc>
          <w:tcPr>
            <w:tcW w:type="dxa" w:w="49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CustomerGauge B2B NPS Benchmarks (2024)</w:t>
            </w:r>
          </w:p>
        </w:tc>
      </w:tr>
      <w:tr>
        <w:tc>
          <w:tcPr>
            <w:tcW w:type="dxa" w:w="32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Expected post-service B2B</w:t>
            </w:r>
          </w:p>
        </w:tc>
        <w:tc>
          <w:tcPr>
            <w:tcW w:type="dxa" w:w="12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~33%</w:t>
            </w:r>
          </w:p>
        </w:tc>
        <w:tc>
          <w:tcPr>
            <w:tcW w:type="dxa" w:w="49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SurveySparrow Response Rate Benchmarks (2025)</w:t>
            </w:r>
          </w:p>
        </w:tc>
      </w:tr>
      <w:tr>
        <w:tc>
          <w:tcPr>
            <w:tcW w:type="dxa" w:w="32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Identity-verified post-transaction</w:t>
            </w:r>
          </w:p>
        </w:tc>
        <w:tc>
          <w:tcPr>
            <w:tcW w:type="dxa" w:w="12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~40%</w:t>
            </w:r>
          </w:p>
        </w:tc>
        <w:tc>
          <w:tcPr>
            <w:tcW w:type="dxa" w:w="49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Medallia Enterprise Benchmark Report (2024): identity-confirmed requests yield 35–45%</w:t>
            </w:r>
          </w:p>
        </w:tc>
      </w:tr>
      <w:tr>
        <w:tc>
          <w:tcPr>
            <w:tcW w:type="dxa" w:w="32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Email survey, existing client relationship</w:t>
            </w:r>
          </w:p>
        </w:tc>
        <w:tc>
          <w:tcPr>
            <w:tcW w:type="dxa" w:w="12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24–38%</w:t>
            </w:r>
          </w:p>
        </w:tc>
        <w:tc>
          <w:tcPr>
            <w:tcW w:type="dxa" w:w="496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Mailchimp Email Benchmarks: professional services sector average open-to-response rate</w:t>
            </w:r>
          </w:p>
        </w:tc>
      </w:tr>
      <w:tr>
        <w:tc>
          <w:tcPr>
            <w:tcW w:type="dxa" w:w="32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SMS survey, post-service</w:t>
            </w:r>
          </w:p>
        </w:tc>
        <w:tc>
          <w:tcPr>
            <w:tcW w:type="dxa" w:w="12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~45%</w:t>
            </w:r>
          </w:p>
        </w:tc>
        <w:tc>
          <w:tcPr>
            <w:tcW w:type="dxa" w:w="496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SimpleTexting SMS Survey Response Rate Study (2024): SMS outperforms email by ~12 percentage points</w:t>
            </w:r>
          </w:p>
        </w:tc>
      </w:tr>
    </w:tbl>
    <w:p>
      <w:pPr>
        <w:spacing w:after="80" w:before="80"/>
      </w:pPr>
    </w:p>
    <w:p>
      <w:pPr>
        <w:pBdr>
          <w:left w:val="single" w:color="0057FF" w:sz="6" w:space="2"/>
        </w:pBdr>
        <w:shd w:fill="EEF2FF" w:val="clear"/>
        <w:spacing w:after="80" w:before="80"/>
        <w:ind w:left="360"/>
      </w:pPr>
      <w:r>
        <w:rPr>
          <w:rFonts w:ascii="Calibri" w:cs="Calibri" w:eastAsia="Calibri" w:hAnsi="Calibri"/>
          <w:i/>
          <w:iCs/>
          <w:color w:val="2A4070"/>
          <w:sz w:val="18"/>
          <w:szCs w:val="18"/>
        </w:rPr>
        <w:t xml:space="preserve">Dissatisfied clients are approximately 2× more likely to respond to satisfaction surveys than satisfied clients (Medill Spiegel Research Center). IBT's two-layer identity verification and randomized outreach are designed to mitigate the impact of differential response rates on certification outcomes.</w:t>
      </w:r>
    </w:p>
    <w:p>
      <w:pPr>
        <w:pBdr>
          <w:bottom w:val="single" w:color="D5DDEE" w:sz="3" w:space="1"/>
        </w:pBdr>
        <w:spacing w:after="160" w:before="160"/>
      </w:pPr>
    </w:p>
    <w:p>
      <w:pPr>
        <w:shd w:fill="001E64" w:val="clear"/>
        <w:spacing w:after="200" w:before="480"/>
      </w:pPr>
      <w:r>
        <w:rPr>
          <w:rFonts w:ascii="Courier New" w:cs="Courier New" w:eastAsia="Courier New" w:hAnsi="Courier New"/>
          <w:b/>
          <w:bCs/>
          <w:color w:val="3B8BFF"/>
          <w:sz w:val="24"/>
          <w:szCs w:val="24"/>
        </w:rPr>
        <w:t xml:space="preserve">  §19  </w:t>
      </w:r>
      <w:r>
        <w:rPr>
          <w:rFonts w:ascii="Garamond" w:cs="Garamond" w:eastAsia="Garamond" w:hAnsi="Garamond"/>
          <w:b/>
          <w:bCs/>
          <w:color w:val="FFFFFF"/>
          <w:sz w:val="24"/>
          <w:szCs w:val="24"/>
        </w:rPr>
        <w:t xml:space="preserve">Monte Carlo &amp; OC Curve Validation</w:t>
      </w:r>
      <w:r>
        <w:rPr>
          <w:rFonts w:ascii="Calibri" w:cs="Calibri" w:eastAsia="Calibri" w:hAnsi="Calibri"/>
          <w:sz w:val="24"/>
          <w:szCs w:val="24"/>
        </w:rPr>
        <w:t xml:space="preserve">  </w:t>
      </w:r>
    </w:p>
    <w:p>
      <w:pPr>
        <w:spacing w:after="60" w:before="60"/>
      </w:pPr>
      <w:r>
        <w:rPr>
          <w:rFonts w:ascii="Calibri" w:cs="Calibri" w:eastAsia="Calibri" w:hAnsi="Calibri"/>
          <w:color w:val="2A4070"/>
          <w:sz w:val="20"/>
          <w:szCs w:val="20"/>
        </w:rPr>
        <w:t xml:space="preserve">IBT conducted Monte Carlo simulation and exact hypergeometric OC curve analysis to validate the acceptance plan across all client population sizes. Results are reported here in full.</w:t>
      </w:r>
    </w:p>
    <w:p>
      <w:pPr>
        <w:spacing w:after="80" w:before="80"/>
      </w:pPr>
    </w:p>
    <w:p>
      <w:pPr>
        <w:spacing w:after="60" w:before="200"/>
      </w:pPr>
      <w:r>
        <w:rPr>
          <w:rFonts w:ascii="Calibri" w:cs="Calibri" w:eastAsia="Calibri" w:hAnsi="Calibri"/>
          <w:b/>
          <w:bCs/>
          <w:color w:val="001E64"/>
          <w:sz w:val="22"/>
          <w:szCs w:val="22"/>
        </w:rPr>
        <w:t xml:space="preserve">19.1  Methodology</w:t>
      </w:r>
    </w:p>
    <w:p>
      <w:pPr>
        <w:pStyle w:val="ListParagraph"/>
        <w:numPr>
          <w:ilvl w:val="0"/>
          <w:numId w:val="2"/>
        </w:numPr>
        <w:spacing w:after="40" w:before="40"/>
      </w:pPr>
      <w:r>
        <w:rPr>
          <w:rFonts w:ascii="Calibri" w:cs="Calibri" w:eastAsia="Calibri" w:hAnsi="Calibri"/>
          <w:color w:val="2A4070"/>
          <w:sz w:val="20"/>
          <w:szCs w:val="20"/>
        </w:rPr>
        <w:t xml:space="preserve">20,000 independent simulated certification attempts per N value. Exact hypergeometric OC curves computed independently for all N as cross-validation.</w:t>
      </w:r>
    </w:p>
    <w:p>
      <w:pPr>
        <w:pStyle w:val="ListParagraph"/>
        <w:numPr>
          <w:ilvl w:val="0"/>
          <w:numId w:val="2"/>
        </w:numPr>
        <w:spacing w:after="40" w:before="40"/>
      </w:pPr>
      <w:r>
        <w:rPr>
          <w:rFonts w:ascii="Calibri" w:cs="Calibri" w:eastAsia="Calibri" w:hAnsi="Calibri"/>
          <w:color w:val="2A4070"/>
          <w:sz w:val="20"/>
          <w:szCs w:val="20"/>
        </w:rPr>
        <w:t xml:space="preserve">Each simulation draws n clients without replacement from a population of N, applies dual-gate decision logic, records pass/fail outcome.</w:t>
      </w:r>
    </w:p>
    <w:p>
      <w:pPr>
        <w:pStyle w:val="ListParagraph"/>
        <w:numPr>
          <w:ilvl w:val="0"/>
          <w:numId w:val="2"/>
        </w:numPr>
        <w:spacing w:after="40" w:before="40"/>
      </w:pPr>
      <w:r>
        <w:rPr>
          <w:rFonts w:ascii="Calibri" w:cs="Calibri" w:eastAsia="Calibri" w:hAnsi="Calibri"/>
          <w:color w:val="2A4070"/>
          <w:sz w:val="20"/>
          <w:szCs w:val="20"/>
        </w:rPr>
        <w:t xml:space="preserve">Odd-number N values (3, 7, 11, 17, 22, 33, 47, 57, 83, 97, 113, 147, 166, 233, 347, 499, 501, 999, 1,001) included to verify correctness at non-standard population sizes.</w:t>
      </w:r>
    </w:p>
    <w:p>
      <w:pPr>
        <w:pStyle w:val="ListParagraph"/>
        <w:numPr>
          <w:ilvl w:val="0"/>
          <w:numId w:val="2"/>
        </w:numPr>
        <w:spacing w:after="40" w:before="40"/>
      </w:pPr>
      <w:r>
        <w:rPr>
          <w:rFonts w:ascii="Calibri" w:cs="Calibri" w:eastAsia="Calibri" w:hAnsi="Calibri"/>
          <w:color w:val="2A4070"/>
          <w:sz w:val="20"/>
          <w:szCs w:val="20"/>
        </w:rPr>
        <w:t xml:space="preserve">Monotonicity enforced and confirmed: n never decreases as N increases across the full test range.</w:t>
      </w:r>
    </w:p>
    <w:p>
      <w:pPr>
        <w:spacing w:after="80" w:before="80"/>
      </w:pPr>
    </w:p>
    <w:p>
      <w:pPr>
        <w:spacing w:after="60" w:before="200"/>
      </w:pPr>
      <w:r>
        <w:rPr>
          <w:rFonts w:ascii="Calibri" w:cs="Calibri" w:eastAsia="Calibri" w:hAnsi="Calibri"/>
          <w:b/>
          <w:bCs/>
          <w:color w:val="001E64"/>
          <w:sz w:val="22"/>
          <w:szCs w:val="22"/>
        </w:rPr>
        <w:t xml:space="preserve">19.2  Main OC Validation (Generative / Medium: I=1.5, C=1.0)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700"/>
        <w:gridCol w:w="600"/>
        <w:gridCol w:w="600"/>
        <w:gridCol w:w="1080"/>
        <w:gridCol w:w="1080"/>
        <w:gridCol w:w="520"/>
        <w:gridCol w:w="3880"/>
      </w:tblGrid>
      <w:tr>
        <w:trPr>
          <w:tblHeader/>
        </w:trPr>
        <w:tc>
          <w:tcPr>
            <w:tcW w:type="dxa" w:w="9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N</w:t>
            </w:r>
          </w:p>
        </w:tc>
        <w:tc>
          <w:tcPr>
            <w:tcW w:type="dxa" w:w="7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n</w:t>
            </w:r>
          </w:p>
        </w:tc>
        <w:tc>
          <w:tcPr>
            <w:tcW w:type="dxa" w:w="6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c</w:t>
            </w:r>
          </w:p>
        </w:tc>
        <w:tc>
          <w:tcPr>
            <w:tcW w:type="dxa" w:w="6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α=β</w:t>
            </w:r>
          </w:p>
        </w:tc>
        <w:tc>
          <w:tcPr>
            <w:tcW w:type="dxa" w:w="108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P(pass|AQL)</w:t>
            </w:r>
          </w:p>
        </w:tc>
        <w:tc>
          <w:tcPr>
            <w:tcW w:type="dxa" w:w="108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P(pass|RQL)</w:t>
            </w:r>
          </w:p>
        </w:tc>
        <w:tc>
          <w:tcPr>
            <w:tcW w:type="dxa" w:w="52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w:t>
            </w:r>
          </w:p>
        </w:tc>
        <w:tc>
          <w:tcPr>
            <w:tcW w:type="dxa" w:w="388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Class Fee</w:t>
            </w:r>
          </w:p>
        </w:tc>
      </w:tr>
      <w:tr>
        <w:tc>
          <w:tcPr>
            <w:tcW w:type="dxa" w:w="9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10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1.000</w:t>
            </w:r>
          </w:p>
        </w:tc>
        <w:tc>
          <w:tcPr>
            <w:tcW w:type="dxa" w:w="10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0.000</w:t>
            </w:r>
          </w:p>
        </w:tc>
        <w:tc>
          <w:tcPr>
            <w:tcW w:type="dxa" w:w="52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38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$500 Unclassified</w:t>
            </w:r>
          </w:p>
        </w:tc>
      </w:tr>
      <w:tr>
        <w:tc>
          <w:tcPr>
            <w:tcW w:type="dxa" w:w="9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3</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10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1.000</w:t>
            </w:r>
          </w:p>
        </w:tc>
        <w:tc>
          <w:tcPr>
            <w:tcW w:type="dxa" w:w="10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0.099</w:t>
            </w:r>
          </w:p>
        </w:tc>
        <w:tc>
          <w:tcPr>
            <w:tcW w:type="dxa" w:w="52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38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$500 Unclassified</w:t>
            </w:r>
          </w:p>
        </w:tc>
      </w:tr>
      <w:tr>
        <w:tc>
          <w:tcPr>
            <w:tcW w:type="dxa" w:w="9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8</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10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1.000</w:t>
            </w:r>
          </w:p>
        </w:tc>
        <w:tc>
          <w:tcPr>
            <w:tcW w:type="dxa" w:w="10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0.067</w:t>
            </w:r>
          </w:p>
        </w:tc>
        <w:tc>
          <w:tcPr>
            <w:tcW w:type="dxa" w:w="52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38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$1,000 Class 1</w:t>
            </w:r>
          </w:p>
        </w:tc>
      </w:tr>
      <w:tr>
        <w:tc>
          <w:tcPr>
            <w:tcW w:type="dxa" w:w="9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15</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9</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10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1.000</w:t>
            </w:r>
          </w:p>
        </w:tc>
        <w:tc>
          <w:tcPr>
            <w:tcW w:type="dxa" w:w="10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0.047</w:t>
            </w:r>
          </w:p>
        </w:tc>
        <w:tc>
          <w:tcPr>
            <w:tcW w:type="dxa" w:w="52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38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$1,000 Class 1</w:t>
            </w:r>
          </w:p>
        </w:tc>
      </w:tr>
      <w:tr>
        <w:tc>
          <w:tcPr>
            <w:tcW w:type="dxa" w:w="9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22</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13</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10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1.000</w:t>
            </w:r>
          </w:p>
        </w:tc>
        <w:tc>
          <w:tcPr>
            <w:tcW w:type="dxa" w:w="10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0.067</w:t>
            </w:r>
          </w:p>
        </w:tc>
        <w:tc>
          <w:tcPr>
            <w:tcW w:type="dxa" w:w="52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38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$2,000 Class 2</w:t>
            </w:r>
          </w:p>
        </w:tc>
      </w:tr>
      <w:tr>
        <w:tc>
          <w:tcPr>
            <w:tcW w:type="dxa" w:w="9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25</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13</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10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1.000</w:t>
            </w:r>
          </w:p>
        </w:tc>
        <w:tc>
          <w:tcPr>
            <w:tcW w:type="dxa" w:w="10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0.083</w:t>
            </w:r>
          </w:p>
        </w:tc>
        <w:tc>
          <w:tcPr>
            <w:tcW w:type="dxa" w:w="52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38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$2,000 Class 2</w:t>
            </w:r>
          </w:p>
        </w:tc>
      </w:tr>
      <w:tr>
        <w:tc>
          <w:tcPr>
            <w:tcW w:type="dxa" w:w="9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57</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14</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10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0.911</w:t>
            </w:r>
          </w:p>
        </w:tc>
        <w:tc>
          <w:tcPr>
            <w:tcW w:type="dxa" w:w="10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0.099</w:t>
            </w:r>
          </w:p>
        </w:tc>
        <w:tc>
          <w:tcPr>
            <w:tcW w:type="dxa" w:w="52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38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$2,000 Class 2</w:t>
            </w:r>
          </w:p>
        </w:tc>
      </w:tr>
      <w:tr>
        <w:tc>
          <w:tcPr>
            <w:tcW w:type="dxa" w:w="9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100</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24</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4</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10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0.972</w:t>
            </w:r>
          </w:p>
        </w:tc>
        <w:tc>
          <w:tcPr>
            <w:tcW w:type="dxa" w:w="10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0.074</w:t>
            </w:r>
          </w:p>
        </w:tc>
        <w:tc>
          <w:tcPr>
            <w:tcW w:type="dxa" w:w="52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38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$3,000 Class 3</w:t>
            </w:r>
          </w:p>
        </w:tc>
      </w:tr>
      <w:tr>
        <w:tc>
          <w:tcPr>
            <w:tcW w:type="dxa" w:w="9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166</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25</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4</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8%</w:t>
            </w:r>
          </w:p>
        </w:tc>
        <w:tc>
          <w:tcPr>
            <w:tcW w:type="dxa" w:w="10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0.930</w:t>
            </w:r>
          </w:p>
        </w:tc>
        <w:tc>
          <w:tcPr>
            <w:tcW w:type="dxa" w:w="10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0.072</w:t>
            </w:r>
          </w:p>
        </w:tc>
        <w:tc>
          <w:tcPr>
            <w:tcW w:type="dxa" w:w="52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38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$3,000 Class 3</w:t>
            </w:r>
          </w:p>
        </w:tc>
      </w:tr>
      <w:tr>
        <w:tc>
          <w:tcPr>
            <w:tcW w:type="dxa" w:w="9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200</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29</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8%</w:t>
            </w:r>
          </w:p>
        </w:tc>
        <w:tc>
          <w:tcPr>
            <w:tcW w:type="dxa" w:w="10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0.955</w:t>
            </w:r>
          </w:p>
        </w:tc>
        <w:tc>
          <w:tcPr>
            <w:tcW w:type="dxa" w:w="10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0.072</w:t>
            </w:r>
          </w:p>
        </w:tc>
        <w:tc>
          <w:tcPr>
            <w:tcW w:type="dxa" w:w="52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38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$4,000 Class 4</w:t>
            </w:r>
          </w:p>
        </w:tc>
      </w:tr>
      <w:tr>
        <w:tc>
          <w:tcPr>
            <w:tcW w:type="dxa" w:w="9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500</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35</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6</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6%</w:t>
            </w:r>
          </w:p>
        </w:tc>
        <w:tc>
          <w:tcPr>
            <w:tcW w:type="dxa" w:w="10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0.950</w:t>
            </w:r>
          </w:p>
        </w:tc>
        <w:tc>
          <w:tcPr>
            <w:tcW w:type="dxa" w:w="10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0.059</w:t>
            </w:r>
          </w:p>
        </w:tc>
        <w:tc>
          <w:tcPr>
            <w:tcW w:type="dxa" w:w="52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38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$5,000 Class 5</w:t>
            </w:r>
          </w:p>
        </w:tc>
      </w:tr>
      <w:tr>
        <w:tc>
          <w:tcPr>
            <w:tcW w:type="dxa" w:w="9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1,000</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50</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9</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w:t>
            </w:r>
          </w:p>
        </w:tc>
        <w:tc>
          <w:tcPr>
            <w:tcW w:type="dxa" w:w="10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0.976</w:t>
            </w:r>
          </w:p>
        </w:tc>
        <w:tc>
          <w:tcPr>
            <w:tcW w:type="dxa" w:w="10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0.034</w:t>
            </w:r>
          </w:p>
        </w:tc>
        <w:tc>
          <w:tcPr>
            <w:tcW w:type="dxa" w:w="52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38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$9,000 Class 9</w:t>
            </w:r>
          </w:p>
        </w:tc>
      </w:tr>
      <w:tr>
        <w:tc>
          <w:tcPr>
            <w:tcW w:type="dxa" w:w="9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2,000</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15</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4%</w:t>
            </w:r>
          </w:p>
        </w:tc>
        <w:tc>
          <w:tcPr>
            <w:tcW w:type="dxa" w:w="10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0.961</w:t>
            </w:r>
          </w:p>
        </w:tc>
        <w:tc>
          <w:tcPr>
            <w:tcW w:type="dxa" w:w="10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0.000</w:t>
            </w:r>
          </w:p>
        </w:tc>
        <w:tc>
          <w:tcPr>
            <w:tcW w:type="dxa" w:w="52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38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$17,000 Class 17</w:t>
            </w:r>
          </w:p>
        </w:tc>
      </w:tr>
      <w:tr>
        <w:tc>
          <w:tcPr>
            <w:tcW w:type="dxa" w:w="9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10,000</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500</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63</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3%</w:t>
            </w:r>
          </w:p>
        </w:tc>
        <w:tc>
          <w:tcPr>
            <w:tcW w:type="dxa" w:w="10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0.978</w:t>
            </w:r>
          </w:p>
        </w:tc>
        <w:tc>
          <w:tcPr>
            <w:tcW w:type="dxa" w:w="10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0.000</w:t>
            </w:r>
          </w:p>
        </w:tc>
        <w:tc>
          <w:tcPr>
            <w:tcW w:type="dxa" w:w="52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38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$83,000 Class 83</w:t>
            </w:r>
          </w:p>
        </w:tc>
      </w:tr>
      <w:tr>
        <w:tc>
          <w:tcPr>
            <w:tcW w:type="dxa" w:w="9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100,000</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3,000</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334</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w:t>
            </w:r>
          </w:p>
        </w:tc>
        <w:tc>
          <w:tcPr>
            <w:tcW w:type="dxa" w:w="10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0.982</w:t>
            </w:r>
          </w:p>
        </w:tc>
        <w:tc>
          <w:tcPr>
            <w:tcW w:type="dxa" w:w="10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0.000</w:t>
            </w:r>
          </w:p>
        </w:tc>
        <w:tc>
          <w:tcPr>
            <w:tcW w:type="dxa" w:w="52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388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$675,000 Class 675</w:t>
            </w:r>
          </w:p>
        </w:tc>
      </w:tr>
      <w:tr>
        <w:tc>
          <w:tcPr>
            <w:tcW w:type="dxa" w:w="9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1,000,000</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10,000</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1000</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w:t>
            </w:r>
          </w:p>
        </w:tc>
        <w:tc>
          <w:tcPr>
            <w:tcW w:type="dxa" w:w="10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0.990</w:t>
            </w:r>
          </w:p>
        </w:tc>
        <w:tc>
          <w:tcPr>
            <w:tcW w:type="dxa" w:w="10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0.000</w:t>
            </w:r>
          </w:p>
        </w:tc>
        <w:tc>
          <w:tcPr>
            <w:tcW w:type="dxa" w:w="52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w:t>
            </w:r>
          </w:p>
        </w:tc>
        <w:tc>
          <w:tcPr>
            <w:tcW w:type="dxa" w:w="388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$5,250,000 Class 5250</w:t>
            </w:r>
          </w:p>
        </w:tc>
      </w:tr>
    </w:tbl>
    <w:p>
      <w:pPr>
        <w:spacing w:after="80" w:before="80"/>
      </w:pPr>
    </w:p>
    <w:p>
      <w:pPr>
        <w:spacing w:after="60" w:before="200"/>
      </w:pPr>
      <w:r>
        <w:rPr>
          <w:rFonts w:ascii="Calibri" w:cs="Calibri" w:eastAsia="Calibri" w:hAnsi="Calibri"/>
          <w:b/>
          <w:bCs/>
          <w:color w:val="001E64"/>
          <w:sz w:val="22"/>
          <w:szCs w:val="22"/>
        </w:rPr>
        <w:t xml:space="preserve">19.3  Odd-Number Stress Test (Exact Theoretical Values)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600"/>
        <w:gridCol w:w="600"/>
        <w:gridCol w:w="700"/>
        <w:gridCol w:w="1300"/>
        <w:gridCol w:w="1300"/>
        <w:gridCol w:w="700"/>
      </w:tblGrid>
      <w:tr>
        <w:trPr>
          <w:tblHeader/>
        </w:trPr>
        <w:tc>
          <w:tcPr>
            <w:tcW w:type="dxa" w:w="7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N</w:t>
            </w:r>
          </w:p>
        </w:tc>
        <w:tc>
          <w:tcPr>
            <w:tcW w:type="dxa" w:w="6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n</w:t>
            </w:r>
          </w:p>
        </w:tc>
        <w:tc>
          <w:tcPr>
            <w:tcW w:type="dxa" w:w="6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c</w:t>
            </w:r>
          </w:p>
        </w:tc>
        <w:tc>
          <w:tcPr>
            <w:tcW w:type="dxa" w:w="7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α=β</w:t>
            </w:r>
          </w:p>
        </w:tc>
        <w:tc>
          <w:tcPr>
            <w:tcW w:type="dxa" w:w="13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P(pass|AQL)</w:t>
            </w:r>
          </w:p>
        </w:tc>
        <w:tc>
          <w:tcPr>
            <w:tcW w:type="dxa" w:w="13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P(pass|RQL)</w:t>
            </w:r>
          </w:p>
        </w:tc>
        <w:tc>
          <w:tcPr>
            <w:tcW w:type="dxa" w:w="7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w:t>
            </w:r>
          </w:p>
        </w:tc>
      </w:tr>
      <w:tr>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3</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3</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13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1.000</w:t>
            </w:r>
          </w:p>
        </w:tc>
        <w:tc>
          <w:tcPr>
            <w:tcW w:type="dxa" w:w="13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0.000</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r>
      <w:tr>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7</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4</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13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1.000</w:t>
            </w:r>
          </w:p>
        </w:tc>
        <w:tc>
          <w:tcPr>
            <w:tcW w:type="dxa" w:w="13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0.029</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w:t>
            </w:r>
          </w:p>
        </w:tc>
      </w:tr>
      <w:tr>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11</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7</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13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1.000</w:t>
            </w:r>
          </w:p>
        </w:tc>
        <w:tc>
          <w:tcPr>
            <w:tcW w:type="dxa" w:w="13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0.088</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r>
      <w:tr>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17</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8</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13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1.000</w:t>
            </w:r>
          </w:p>
        </w:tc>
        <w:tc>
          <w:tcPr>
            <w:tcW w:type="dxa" w:w="13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0.088</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w:t>
            </w:r>
          </w:p>
        </w:tc>
      </w:tr>
      <w:tr>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22</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13</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13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1.000</w:t>
            </w:r>
          </w:p>
        </w:tc>
        <w:tc>
          <w:tcPr>
            <w:tcW w:type="dxa" w:w="13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0.067</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r>
      <w:tr>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33</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14</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13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0.927</w:t>
            </w:r>
          </w:p>
        </w:tc>
        <w:tc>
          <w:tcPr>
            <w:tcW w:type="dxa" w:w="13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0.087</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w:t>
            </w:r>
          </w:p>
        </w:tc>
      </w:tr>
      <w:tr>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47</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14</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13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0.927</w:t>
            </w:r>
          </w:p>
        </w:tc>
        <w:tc>
          <w:tcPr>
            <w:tcW w:type="dxa" w:w="13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0.086</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r>
      <w:tr>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57</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14</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13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0.911</w:t>
            </w:r>
          </w:p>
        </w:tc>
        <w:tc>
          <w:tcPr>
            <w:tcW w:type="dxa" w:w="13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0.099</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w:t>
            </w:r>
          </w:p>
        </w:tc>
      </w:tr>
      <w:tr>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83</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19</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3</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13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0.936</w:t>
            </w:r>
          </w:p>
        </w:tc>
        <w:tc>
          <w:tcPr>
            <w:tcW w:type="dxa" w:w="13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0.098</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r>
      <w:tr>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97</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19</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3</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10%</w:t>
            </w:r>
          </w:p>
        </w:tc>
        <w:tc>
          <w:tcPr>
            <w:tcW w:type="dxa" w:w="13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0.925</w:t>
            </w:r>
          </w:p>
        </w:tc>
        <w:tc>
          <w:tcPr>
            <w:tcW w:type="dxa" w:w="13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0.100</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w:t>
            </w:r>
          </w:p>
        </w:tc>
      </w:tr>
      <w:tr>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113</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25</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4</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8%</w:t>
            </w:r>
          </w:p>
        </w:tc>
        <w:tc>
          <w:tcPr>
            <w:tcW w:type="dxa" w:w="13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0.921</w:t>
            </w:r>
          </w:p>
        </w:tc>
        <w:tc>
          <w:tcPr>
            <w:tcW w:type="dxa" w:w="13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0.064</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r>
      <w:tr>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147</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25</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4</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8%</w:t>
            </w:r>
          </w:p>
        </w:tc>
        <w:tc>
          <w:tcPr>
            <w:tcW w:type="dxa" w:w="13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0.921</w:t>
            </w:r>
          </w:p>
        </w:tc>
        <w:tc>
          <w:tcPr>
            <w:tcW w:type="dxa" w:w="13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0.072</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w:t>
            </w:r>
          </w:p>
        </w:tc>
      </w:tr>
      <w:tr>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166</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25</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4</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8%</w:t>
            </w:r>
          </w:p>
        </w:tc>
        <w:tc>
          <w:tcPr>
            <w:tcW w:type="dxa" w:w="13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0.930</w:t>
            </w:r>
          </w:p>
        </w:tc>
        <w:tc>
          <w:tcPr>
            <w:tcW w:type="dxa" w:w="13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0.072</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r>
      <w:tr>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233</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35</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6</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6%</w:t>
            </w:r>
          </w:p>
        </w:tc>
        <w:tc>
          <w:tcPr>
            <w:tcW w:type="dxa" w:w="13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0.941</w:t>
            </w:r>
          </w:p>
        </w:tc>
        <w:tc>
          <w:tcPr>
            <w:tcW w:type="dxa" w:w="13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0.056</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w:t>
            </w:r>
          </w:p>
        </w:tc>
      </w:tr>
      <w:tr>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347</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35</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6</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6%</w:t>
            </w:r>
          </w:p>
        </w:tc>
        <w:tc>
          <w:tcPr>
            <w:tcW w:type="dxa" w:w="13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0.941</w:t>
            </w:r>
          </w:p>
        </w:tc>
        <w:tc>
          <w:tcPr>
            <w:tcW w:type="dxa" w:w="13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0.056</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r>
      <w:tr>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499</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35</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6</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6%</w:t>
            </w:r>
          </w:p>
        </w:tc>
        <w:tc>
          <w:tcPr>
            <w:tcW w:type="dxa" w:w="13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0.950</w:t>
            </w:r>
          </w:p>
        </w:tc>
        <w:tc>
          <w:tcPr>
            <w:tcW w:type="dxa" w:w="13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0.057</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w:t>
            </w:r>
          </w:p>
        </w:tc>
      </w:tr>
      <w:tr>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501</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40</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7</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5%</w:t>
            </w:r>
          </w:p>
        </w:tc>
        <w:tc>
          <w:tcPr>
            <w:tcW w:type="dxa" w:w="13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0.965</w:t>
            </w:r>
          </w:p>
        </w:tc>
        <w:tc>
          <w:tcPr>
            <w:tcW w:type="dxa" w:w="13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0.046</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r>
      <w:tr>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999</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50</w:t>
            </w:r>
          </w:p>
        </w:tc>
        <w:tc>
          <w:tcPr>
            <w:tcW w:type="dxa" w:w="6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9</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5%</w:t>
            </w:r>
          </w:p>
        </w:tc>
        <w:tc>
          <w:tcPr>
            <w:tcW w:type="dxa" w:w="13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0.976</w:t>
            </w:r>
          </w:p>
        </w:tc>
        <w:tc>
          <w:tcPr>
            <w:tcW w:type="dxa" w:w="13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0.033</w:t>
            </w:r>
          </w:p>
        </w:tc>
        <w:tc>
          <w:tcPr>
            <w:tcW w:type="dxa" w:w="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w:t>
            </w:r>
          </w:p>
        </w:tc>
      </w:tr>
      <w:tr>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1001</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51</w:t>
            </w:r>
          </w:p>
        </w:tc>
        <w:tc>
          <w:tcPr>
            <w:tcW w:type="dxa" w:w="6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9</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4%</w:t>
            </w:r>
          </w:p>
        </w:tc>
        <w:tc>
          <w:tcPr>
            <w:tcW w:type="dxa" w:w="13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0.975</w:t>
            </w:r>
          </w:p>
        </w:tc>
        <w:tc>
          <w:tcPr>
            <w:tcW w:type="dxa" w:w="13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0.031</w:t>
            </w:r>
          </w:p>
        </w:tc>
        <w:tc>
          <w:tcPr>
            <w:tcW w:type="dxa" w:w="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w:t>
            </w:r>
          </w:p>
        </w:tc>
      </w:tr>
    </w:tbl>
    <w:p>
      <w:pPr>
        <w:pBdr>
          <w:left w:val="single" w:color="0057FF" w:sz="6" w:space="2"/>
        </w:pBdr>
        <w:shd w:fill="EEF2FF" w:val="clear"/>
        <w:spacing w:after="80" w:before="80"/>
        <w:ind w:left="360"/>
      </w:pPr>
      <w:r>
        <w:rPr>
          <w:rFonts w:ascii="Calibri" w:cs="Calibri" w:eastAsia="Calibri" w:hAnsi="Calibri"/>
          <w:i/>
          <w:iCs/>
          <w:color w:val="2A4070"/>
          <w:sz w:val="18"/>
          <w:szCs w:val="18"/>
        </w:rPr>
        <w:t xml:space="preserve">All 19 odd-number test cases pass both AQL and RQL constraints at the exact theoretical level. Monotonicity confirmed across all tested N values.</w:t>
      </w:r>
    </w:p>
    <w:p>
      <w:pPr>
        <w:pBdr>
          <w:bottom w:val="single" w:color="D5DDEE" w:sz="3" w:space="1"/>
        </w:pBdr>
        <w:spacing w:after="160" w:before="160"/>
      </w:pPr>
    </w:p>
    <w:p>
      <w:pPr>
        <w:shd w:fill="001E64" w:val="clear"/>
        <w:spacing w:after="200" w:before="480"/>
      </w:pPr>
      <w:r>
        <w:rPr>
          <w:rFonts w:ascii="Courier New" w:cs="Courier New" w:eastAsia="Courier New" w:hAnsi="Courier New"/>
          <w:b/>
          <w:bCs/>
          <w:color w:val="3B8BFF"/>
          <w:sz w:val="24"/>
          <w:szCs w:val="24"/>
        </w:rPr>
        <w:t xml:space="preserve">  §20  </w:t>
      </w:r>
      <w:r>
        <w:rPr>
          <w:rFonts w:ascii="Garamond" w:cs="Garamond" w:eastAsia="Garamond" w:hAnsi="Garamond"/>
          <w:b/>
          <w:bCs/>
          <w:color w:val="FFFFFF"/>
          <w:sz w:val="24"/>
          <w:szCs w:val="24"/>
        </w:rPr>
        <w:t xml:space="preserve">Governance Architecture</w:t>
      </w:r>
      <w:r>
        <w:rPr>
          <w:rFonts w:ascii="Calibri" w:cs="Calibri" w:eastAsia="Calibri" w:hAnsi="Calibri"/>
          <w:sz w:val="24"/>
          <w:szCs w:val="24"/>
        </w:rPr>
        <w:t xml:space="preserve">  </w:t>
      </w:r>
    </w:p>
    <w:p>
      <w:pPr>
        <w:spacing w:after="60" w:before="60"/>
      </w:pPr>
      <w:r>
        <w:rPr>
          <w:rFonts w:ascii="Calibri" w:cs="Calibri" w:eastAsia="Calibri" w:hAnsi="Calibri"/>
          <w:color w:val="2A4070"/>
          <w:sz w:val="20"/>
          <w:szCs w:val="20"/>
        </w:rPr>
        <w:t xml:space="preserve">Fundamental principle: separation of data collection from certification decisions. No individual or unit may exercise authority over both simultaneously.</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800"/>
        <w:gridCol w:w="2700"/>
        <w:gridCol w:w="2520"/>
      </w:tblGrid>
      <w:tr>
        <w:trPr>
          <w:tblHeader/>
        </w:trPr>
        <w:tc>
          <w:tcPr>
            <w:tcW w:type="dxa" w:w="234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Body</w:t>
            </w:r>
          </w:p>
        </w:tc>
        <w:tc>
          <w:tcPr>
            <w:tcW w:type="dxa" w:w="18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Reports To</w:t>
            </w:r>
          </w:p>
        </w:tc>
        <w:tc>
          <w:tcPr>
            <w:tcW w:type="dxa" w:w="270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Authority Over</w:t>
            </w:r>
          </w:p>
        </w:tc>
        <w:tc>
          <w:tcPr>
            <w:tcW w:type="dxa" w:w="2520"/>
            <w:tcBorders>
              <w:top w:val="single" w:color="D5DDEE" w:sz="1"/>
              <w:left w:val="single" w:color="D5DDEE" w:sz="1"/>
              <w:bottom w:val="single" w:color="D5DDEE" w:sz="1"/>
              <w:right w:val="single" w:color="D5DDEE" w:sz="1"/>
            </w:tcBorders>
            <w:shd w:fill="001E64" w:val="clear"/>
            <w:tcMar>
              <w:top w:type="dxa" w:w="80"/>
              <w:left w:type="dxa" w:w="140"/>
              <w:bottom w:type="dxa" w:w="80"/>
              <w:right w:type="dxa" w:w="140"/>
            </w:tcMar>
          </w:tcPr>
          <w:p>
            <w:r>
              <w:rPr>
                <w:rFonts w:ascii="Calibri" w:cs="Calibri" w:eastAsia="Calibri" w:hAnsi="Calibri"/>
                <w:b/>
                <w:bCs/>
                <w:color w:val="FFFFFF"/>
                <w:sz w:val="17"/>
                <w:szCs w:val="17"/>
              </w:rPr>
              <w:t xml:space="preserve">Prohibited From</w:t>
            </w:r>
          </w:p>
        </w:tc>
      </w:tr>
      <w:tr>
        <w:tc>
          <w:tcPr>
            <w:tcW w:type="dxa" w:w="234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Assessment Operations</w:t>
            </w:r>
          </w:p>
        </w:tc>
        <w:tc>
          <w:tcPr>
            <w:tcW w:type="dxa" w:w="1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Chief Assessment Officer</w:t>
            </w:r>
          </w:p>
        </w:tc>
        <w:tc>
          <w:tcPr>
            <w:tcW w:type="dxa" w:w="2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Outreach, verification, data collection</w:t>
            </w:r>
          </w:p>
        </w:tc>
        <w:tc>
          <w:tcPr>
            <w:tcW w:type="dxa" w:w="252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Issuing, modifying, or revoking certificates</w:t>
            </w:r>
          </w:p>
        </w:tc>
      </w:tr>
      <w:tr>
        <w:tc>
          <w:tcPr>
            <w:tcW w:type="dxa" w:w="234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Certification Committee</w:t>
            </w:r>
          </w:p>
        </w:tc>
        <w:tc>
          <w:tcPr>
            <w:tcW w:type="dxa" w:w="18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Board of Directors</w:t>
            </w:r>
          </w:p>
        </w:tc>
        <w:tc>
          <w:tcPr>
            <w:tcW w:type="dxa" w:w="270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Certificate issuance / revocation</w:t>
            </w:r>
          </w:p>
        </w:tc>
        <w:tc>
          <w:tcPr>
            <w:tcW w:type="dxa" w:w="2520"/>
            <w:tcBorders>
              <w:top w:val="single" w:color="D5DDEE" w:sz="1"/>
              <w:left w:val="single" w:color="D5DDEE" w:sz="1"/>
              <w:bottom w:val="single" w:color="D5DDEE" w:sz="1"/>
              <w:right w:val="single" w:color="D5DDEE" w:sz="1"/>
            </w:tcBorders>
            <w:shd w:fill="EEF2FF" w:val="clear"/>
            <w:tcMar>
              <w:top w:type="dxa" w:w="60"/>
              <w:left w:type="dxa" w:w="140"/>
              <w:bottom w:type="dxa" w:w="60"/>
              <w:right w:type="dxa" w:w="140"/>
            </w:tcMar>
          </w:tcPr>
          <w:p>
            <w:r>
              <w:rPr>
                <w:rFonts w:ascii="Calibri" w:cs="Calibri" w:eastAsia="Calibri" w:hAnsi="Calibri"/>
                <w:color w:val="2A4070"/>
                <w:sz w:val="18"/>
                <w:szCs w:val="18"/>
              </w:rPr>
              <w:t xml:space="preserve">Overriding mathematical outcomes</w:t>
            </w:r>
          </w:p>
        </w:tc>
      </w:tr>
      <w:tr>
        <w:tc>
          <w:tcPr>
            <w:tcW w:type="dxa" w:w="234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Impartiality Board</w:t>
            </w:r>
          </w:p>
        </w:tc>
        <w:tc>
          <w:tcPr>
            <w:tcW w:type="dxa" w:w="18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Independent charter</w:t>
            </w:r>
          </w:p>
        </w:tc>
        <w:tc>
          <w:tcPr>
            <w:tcW w:type="dxa" w:w="270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Annual audits, appeals, public reporting</w:t>
            </w:r>
          </w:p>
        </w:tc>
        <w:tc>
          <w:tcPr>
            <w:tcW w:type="dxa" w:w="2520"/>
            <w:tcBorders>
              <w:top w:val="single" w:color="D5DDEE" w:sz="1"/>
              <w:left w:val="single" w:color="D5DDEE" w:sz="1"/>
              <w:bottom w:val="single" w:color="D5DDEE" w:sz="1"/>
              <w:right w:val="single" w:color="D5DDEE" w:sz="1"/>
            </w:tcBorders>
            <w:shd w:fill="FFFFFF" w:val="clear"/>
            <w:tcMar>
              <w:top w:type="dxa" w:w="60"/>
              <w:left w:type="dxa" w:w="140"/>
              <w:bottom w:type="dxa" w:w="60"/>
              <w:right w:type="dxa" w:w="140"/>
            </w:tcMar>
          </w:tcPr>
          <w:p>
            <w:r>
              <w:rPr>
                <w:rFonts w:ascii="Calibri" w:cs="Calibri" w:eastAsia="Calibri" w:hAnsi="Calibri"/>
                <w:color w:val="2A4070"/>
                <w:sz w:val="18"/>
                <w:szCs w:val="18"/>
              </w:rPr>
              <w:t xml:space="preserve">Operational activities of any kind</w:t>
            </w:r>
          </w:p>
        </w:tc>
      </w:tr>
    </w:tbl>
    <w:p>
      <w:pPr>
        <w:pBdr>
          <w:bottom w:val="single" w:color="D5DDEE" w:sz="3" w:space="1"/>
        </w:pBdr>
        <w:spacing w:after="160" w:before="160"/>
      </w:pPr>
    </w:p>
    <w:p>
      <w:pPr>
        <w:shd w:fill="001E64" w:val="clear"/>
        <w:spacing w:after="200" w:before="480"/>
      </w:pPr>
      <w:r>
        <w:rPr>
          <w:rFonts w:ascii="Courier New" w:cs="Courier New" w:eastAsia="Courier New" w:hAnsi="Courier New"/>
          <w:b/>
          <w:bCs/>
          <w:color w:val="3B8BFF"/>
          <w:sz w:val="24"/>
          <w:szCs w:val="24"/>
        </w:rPr>
        <w:t xml:space="preserve">  §21  </w:t>
      </w:r>
      <w:r>
        <w:rPr>
          <w:rFonts w:ascii="Garamond" w:cs="Garamond" w:eastAsia="Garamond" w:hAnsi="Garamond"/>
          <w:b/>
          <w:bCs/>
          <w:color w:val="FFFFFF"/>
          <w:sz w:val="24"/>
          <w:szCs w:val="24"/>
        </w:rPr>
        <w:t xml:space="preserve">Appeals Procedure</w:t>
      </w:r>
      <w:r>
        <w:rPr>
          <w:rFonts w:ascii="Calibri" w:cs="Calibri" w:eastAsia="Calibri" w:hAnsi="Calibri"/>
          <w:sz w:val="24"/>
          <w:szCs w:val="24"/>
        </w:rPr>
        <w:t xml:space="preserve">  </w:t>
      </w:r>
    </w:p>
    <w:p>
      <w:pPr>
        <w:pBdr>
          <w:top w:val="single" w:color="0057FF" w:sz="2" w:space="1"/>
        </w:pBdr>
        <w:shd w:fill="F0F2FA" w:val="clear"/>
        <w:spacing w:after="0" w:before="120"/>
        <w:ind w:left="360"/>
      </w:pPr>
    </w:p>
    <w:p>
      <w:pPr>
        <w:shd w:fill="F0F2FA" w:val="clear"/>
        <w:spacing w:after="0" w:before="0"/>
        <w:ind w:left="360" w:right="200"/>
      </w:pPr>
      <w:r>
        <w:rPr>
          <w:rFonts w:ascii="Courier New" w:cs="Courier New" w:eastAsia="Courier New" w:hAnsi="Courier New"/>
          <w:b/>
          <w:bCs/>
          <w:color w:val="0057FF"/>
          <w:sz w:val="18"/>
          <w:szCs w:val="18"/>
        </w:rPr>
        <w:t xml:space="preserve">Grounds (exhaustive):        </w:t>
      </w:r>
      <w:r>
        <w:rPr>
          <w:rFonts w:ascii="Courier New" w:cs="Courier New" w:eastAsia="Courier New" w:hAnsi="Courier New"/>
          <w:color w:val="001E64"/>
          <w:sz w:val="18"/>
          <w:szCs w:val="18"/>
        </w:rPr>
        <w:t xml:space="preserve"/>
      </w:r>
    </w:p>
    <w:p>
      <w:pPr>
        <w:shd w:fill="F0F2FA" w:val="clear"/>
        <w:spacing w:after="0" w:before="0"/>
        <w:ind w:left="360" w:right="200"/>
      </w:pPr>
      <w:r>
        <w:rPr>
          <w:rFonts w:ascii="Courier New" w:cs="Courier New" w:eastAsia="Courier New" w:hAnsi="Courier New"/>
          <w:color w:val="001E64"/>
          <w:sz w:val="18"/>
          <w:szCs w:val="18"/>
        </w:rPr>
        <w:t xml:space="preserve">G1: Procedural deviation — IBT failed to follow published procedure</w:t>
      </w:r>
    </w:p>
    <w:p>
      <w:pPr>
        <w:shd w:fill="F0F2FA" w:val="clear"/>
        <w:spacing w:after="0" w:before="0"/>
        <w:ind w:left="360" w:right="200"/>
      </w:pPr>
      <w:r>
        <w:rPr>
          <w:rFonts w:ascii="Courier New" w:cs="Courier New" w:eastAsia="Courier New" w:hAnsi="Courier New"/>
          <w:color w:val="001E64"/>
          <w:sz w:val="18"/>
          <w:szCs w:val="18"/>
        </w:rPr>
        <w:t xml:space="preserve">G2: Identity verification error — documented error changed counted status</w:t>
      </w:r>
    </w:p>
    <w:p>
      <w:pPr>
        <w:shd w:fill="F0F2FA" w:val="clear"/>
        <w:spacing w:after="0" w:before="0"/>
        <w:ind w:left="360" w:right="200"/>
      </w:pPr>
      <w:r>
        <w:rPr>
          <w:rFonts w:ascii="Courier New" w:cs="Courier New" w:eastAsia="Courier New" w:hAnsi="Courier New"/>
          <w:color w:val="001E64"/>
          <w:sz w:val="18"/>
          <w:szCs w:val="18"/>
        </w:rPr>
        <w:t xml:space="preserve">G3: Undisclosed conflict of interest — IBT staff or Committee member</w:t>
      </w:r>
    </w:p>
    <w:p>
      <w:pPr>
        <w:shd w:fill="F0F2FA" w:val="clear"/>
        <w:spacing w:after="0" w:before="0"/>
        <w:ind w:left="360" w:right="200"/>
      </w:pPr>
      <w:r>
        <w:rPr>
          <w:rFonts w:ascii="Courier New" w:cs="Courier New" w:eastAsia="Courier New" w:hAnsi="Courier New"/>
          <w:i/>
          <w:iCs/>
          <w:color w:val="6070A0"/>
          <w:sz w:val="18"/>
          <w:szCs w:val="18"/>
        </w:rPr>
        <w:t xml:space="preserve"/>
      </w:r>
    </w:p>
    <w:p>
      <w:pPr>
        <w:shd w:fill="F0F2FA" w:val="clear"/>
        <w:spacing w:after="0" w:before="0"/>
        <w:ind w:left="360" w:right="200"/>
      </w:pPr>
      <w:r>
        <w:rPr>
          <w:rFonts w:ascii="Courier New" w:cs="Courier New" w:eastAsia="Courier New" w:hAnsi="Courier New"/>
          <w:b/>
          <w:bCs/>
          <w:color w:val="0057FF"/>
          <w:sz w:val="18"/>
          <w:szCs w:val="18"/>
        </w:rPr>
        <w:t xml:space="preserve">Not appealable:  </w:t>
      </w:r>
      <w:r>
        <w:rPr>
          <w:rFonts w:ascii="Courier New" w:cs="Courier New" w:eastAsia="Courier New" w:hAnsi="Courier New"/>
          <w:color w:val="001E64"/>
          <w:sz w:val="18"/>
          <w:szCs w:val="18"/>
        </w:rPr>
        <w:t xml:space="preserve">Statistical outcome (the mathematical pass/fail result)</w:t>
      </w:r>
    </w:p>
    <w:p>
      <w:pPr>
        <w:shd w:fill="F0F2FA" w:val="clear"/>
        <w:spacing w:after="0" w:before="0"/>
        <w:ind w:left="360" w:right="200"/>
      </w:pPr>
      <w:r>
        <w:rPr>
          <w:rFonts w:ascii="Courier New" w:cs="Courier New" w:eastAsia="Courier New" w:hAnsi="Courier New"/>
          <w:b/>
          <w:bCs/>
          <w:color w:val="0057FF"/>
          <w:sz w:val="18"/>
          <w:szCs w:val="18"/>
        </w:rPr>
        <w:t xml:space="preserve">Filing deadline: </w:t>
      </w:r>
      <w:r>
        <w:rPr>
          <w:rFonts w:ascii="Courier New" w:cs="Courier New" w:eastAsia="Courier New" w:hAnsi="Courier New"/>
          <w:color w:val="001E64"/>
          <w:sz w:val="18"/>
          <w:szCs w:val="18"/>
        </w:rPr>
        <w:t xml:space="preserve">Day 30 post-decision</w:t>
      </w:r>
    </w:p>
    <w:p>
      <w:pPr>
        <w:shd w:fill="F0F2FA" w:val="clear"/>
        <w:spacing w:after="0" w:before="0"/>
        <w:ind w:left="360" w:right="200"/>
      </w:pPr>
      <w:r>
        <w:rPr>
          <w:rFonts w:ascii="Courier New" w:cs="Courier New" w:eastAsia="Courier New" w:hAnsi="Courier New"/>
          <w:b/>
          <w:bCs/>
          <w:color w:val="0057FF"/>
          <w:sz w:val="18"/>
          <w:szCs w:val="18"/>
        </w:rPr>
        <w:t xml:space="preserve">Reviewer:        </w:t>
      </w:r>
      <w:r>
        <w:rPr>
          <w:rFonts w:ascii="Courier New" w:cs="Courier New" w:eastAsia="Courier New" w:hAnsi="Courier New"/>
          <w:color w:val="001E64"/>
          <w:sz w:val="18"/>
          <w:szCs w:val="18"/>
        </w:rPr>
        <w:t xml:space="preserve">Impartiality Board</w:t>
      </w:r>
    </w:p>
    <w:p>
      <w:pPr>
        <w:shd w:fill="F0F2FA" w:val="clear"/>
        <w:spacing w:after="0" w:before="0"/>
        <w:ind w:left="360" w:right="200"/>
      </w:pPr>
      <w:r>
        <w:rPr>
          <w:rFonts w:ascii="Courier New" w:cs="Courier New" w:eastAsia="Courier New" w:hAnsi="Courier New"/>
          <w:b/>
          <w:bCs/>
          <w:color w:val="0057FF"/>
          <w:sz w:val="18"/>
          <w:szCs w:val="18"/>
        </w:rPr>
        <w:t xml:space="preserve">Decision by:     </w:t>
      </w:r>
      <w:r>
        <w:rPr>
          <w:rFonts w:ascii="Courier New" w:cs="Courier New" w:eastAsia="Courier New" w:hAnsi="Courier New"/>
          <w:color w:val="001E64"/>
          <w:sz w:val="18"/>
          <w:szCs w:val="18"/>
        </w:rPr>
        <w:t xml:space="preserve">Day 75 post-original decision</w:t>
      </w:r>
    </w:p>
    <w:p>
      <w:pPr>
        <w:shd w:fill="F0F2FA" w:val="clear"/>
        <w:spacing w:after="0" w:before="0"/>
        <w:ind w:left="360" w:right="200"/>
      </w:pPr>
      <w:r>
        <w:rPr>
          <w:rFonts w:ascii="Courier New" w:cs="Courier New" w:eastAsia="Courier New" w:hAnsi="Courier New"/>
          <w:b/>
          <w:bCs/>
          <w:color w:val="0057FF"/>
          <w:sz w:val="18"/>
          <w:szCs w:val="18"/>
        </w:rPr>
        <w:t xml:space="preserve">Publication:     </w:t>
      </w:r>
      <w:r>
        <w:rPr>
          <w:rFonts w:ascii="Courier New" w:cs="Courier New" w:eastAsia="Courier New" w:hAnsi="Courier New"/>
          <w:color w:val="001E64"/>
          <w:sz w:val="18"/>
          <w:szCs w:val="18"/>
        </w:rPr>
        <w:t xml:space="preserve">Anonymised summary in quarterly appeals register</w:t>
      </w:r>
    </w:p>
    <w:p>
      <w:pPr>
        <w:pBdr>
          <w:bottom w:val="single" w:color="0057FF" w:sz="2" w:space="1"/>
        </w:pBdr>
        <w:shd w:fill="F0F2FA" w:val="clear"/>
        <w:spacing w:after="120" w:before="0"/>
        <w:ind w:left="360"/>
      </w:pPr>
    </w:p>
    <w:p>
      <w:pPr>
        <w:pBdr>
          <w:bottom w:val="single" w:color="D5DDEE" w:sz="3" w:space="1"/>
        </w:pBdr>
        <w:spacing w:after="160" w:before="160"/>
      </w:pPr>
    </w:p>
    <w:p>
      <w:pPr>
        <w:shd w:fill="001E64" w:val="clear"/>
        <w:spacing w:after="200" w:before="480"/>
      </w:pPr>
      <w:r>
        <w:rPr>
          <w:rFonts w:ascii="Courier New" w:cs="Courier New" w:eastAsia="Courier New" w:hAnsi="Courier New"/>
          <w:b/>
          <w:bCs/>
          <w:color w:val="3B8BFF"/>
          <w:sz w:val="24"/>
          <w:szCs w:val="24"/>
        </w:rPr>
        <w:t xml:space="preserve">  §22  </w:t>
      </w:r>
      <w:r>
        <w:rPr>
          <w:rFonts w:ascii="Garamond" w:cs="Garamond" w:eastAsia="Garamond" w:hAnsi="Garamond"/>
          <w:b/>
          <w:bCs/>
          <w:color w:val="FFFFFF"/>
          <w:sz w:val="24"/>
          <w:szCs w:val="24"/>
        </w:rPr>
        <w:t xml:space="preserve">Reference Python Implementation</w:t>
      </w:r>
      <w:r>
        <w:rPr>
          <w:rFonts w:ascii="Calibri" w:cs="Calibri" w:eastAsia="Calibri" w:hAnsi="Calibri"/>
          <w:sz w:val="24"/>
          <w:szCs w:val="24"/>
        </w:rPr>
        <w:t xml:space="preserve">  </w:t>
      </w:r>
    </w:p>
    <w:p>
      <w:pPr>
        <w:spacing w:after="60" w:before="60"/>
      </w:pPr>
      <w:r>
        <w:rPr>
          <w:rFonts w:ascii="Calibri" w:cs="Calibri" w:eastAsia="Calibri" w:hAnsi="Calibri"/>
          <w:color w:val="2A4070"/>
          <w:sz w:val="20"/>
          <w:szCs w:val="20"/>
        </w:rPr>
        <w:t xml:space="preserve">Canonical algorithm. IBT's production system must produce identical (n, c) outputs for all valid inputs.</w:t>
      </w:r>
    </w:p>
    <w:p>
      <w:pPr>
        <w:spacing w:after="80" w:before="80"/>
      </w:pPr>
    </w:p>
    <w:p>
      <w:pPr>
        <w:pBdr>
          <w:top w:val="single" w:color="0057FF" w:sz="2" w:space="1"/>
        </w:pBdr>
        <w:shd w:fill="F0F2FA" w:val="clear"/>
        <w:spacing w:after="0" w:before="120"/>
        <w:ind w:left="360"/>
      </w:pPr>
    </w:p>
    <w:p>
      <w:pPr>
        <w:shd w:fill="F0F2FA" w:val="clear"/>
        <w:spacing w:after="0" w:before="0"/>
        <w:ind w:left="360" w:right="200"/>
      </w:pPr>
      <w:r>
        <w:rPr>
          <w:rFonts w:ascii="Courier New" w:cs="Courier New" w:eastAsia="Courier New" w:hAnsi="Courier New"/>
          <w:color w:val="001E64"/>
          <w:sz w:val="18"/>
          <w:szCs w:val="18"/>
        </w:rPr>
        <w:t xml:space="preserve">from math import comb, floor, ceil</w:t>
      </w:r>
    </w:p>
    <w:p>
      <w:pPr>
        <w:shd w:fill="F0F2FA" w:val="clear"/>
        <w:spacing w:after="0" w:before="0"/>
        <w:ind w:left="360" w:right="200"/>
      </w:pPr>
      <w:r>
        <w:rPr>
          <w:rFonts w:ascii="Courier New" w:cs="Courier New" w:eastAsia="Courier New" w:hAnsi="Courier New"/>
          <w:color w:val="001E64"/>
          <w:sz w:val="18"/>
          <w:szCs w:val="18"/>
        </w:rPr>
        <w:t xml:space="preserve"/>
      </w:r>
    </w:p>
    <w:p>
      <w:pPr>
        <w:shd w:fill="F0F2FA" w:val="clear"/>
        <w:spacing w:after="0" w:before="0"/>
        <w:ind w:left="360" w:right="200"/>
      </w:pPr>
      <w:r>
        <w:rPr>
          <w:rFonts w:ascii="Courier New" w:cs="Courier New" w:eastAsia="Courier New" w:hAnsi="Courier New"/>
          <w:i/>
          <w:iCs/>
          <w:color w:val="6070A0"/>
          <w:sz w:val="18"/>
          <w:szCs w:val="18"/>
        </w:rPr>
        <w:t xml:space="preserve"># Hypergeometric CDF</w:t>
      </w:r>
    </w:p>
    <w:p>
      <w:pPr>
        <w:shd w:fill="F0F2FA" w:val="clear"/>
        <w:spacing w:after="0" w:before="0"/>
        <w:ind w:left="360" w:right="200"/>
      </w:pPr>
      <w:r>
        <w:rPr>
          <w:rFonts w:ascii="Courier New" w:cs="Courier New" w:eastAsia="Courier New" w:hAnsi="Courier New"/>
          <w:color w:val="001E64"/>
          <w:sz w:val="18"/>
          <w:szCs w:val="18"/>
        </w:rPr>
        <w:t xml:space="preserve">def hyper_cdf(k, N, K, n):</w:t>
      </w:r>
    </w:p>
    <w:p>
      <w:pPr>
        <w:shd w:fill="F0F2FA" w:val="clear"/>
        <w:spacing w:after="0" w:before="0"/>
        <w:ind w:left="360" w:right="200"/>
      </w:pPr>
      <w:r>
        <w:rPr>
          <w:rFonts w:ascii="Courier New" w:cs="Courier New" w:eastAsia="Courier New" w:hAnsi="Courier New"/>
          <w:color w:val="001E64"/>
          <w:sz w:val="18"/>
          <w:szCs w:val="18"/>
        </w:rPr>
        <w:t xml:space="preserve">    total = sum(comb(K,i)*comb(N-K,n-i)</w:t>
      </w:r>
    </w:p>
    <w:p>
      <w:pPr>
        <w:shd w:fill="F0F2FA" w:val="clear"/>
        <w:spacing w:after="0" w:before="0"/>
        <w:ind w:left="360" w:right="200"/>
      </w:pPr>
      <w:r>
        <w:rPr>
          <w:rFonts w:ascii="Courier New" w:cs="Courier New" w:eastAsia="Courier New" w:hAnsi="Courier New"/>
          <w:color w:val="001E64"/>
          <w:sz w:val="18"/>
          <w:szCs w:val="18"/>
        </w:rPr>
        <w:t xml:space="preserve">              for i in range(min(k,n,K)+1)</w:t>
      </w:r>
    </w:p>
    <w:p>
      <w:pPr>
        <w:shd w:fill="F0F2FA" w:val="clear"/>
        <w:spacing w:after="0" w:before="0"/>
        <w:ind w:left="360" w:right="200"/>
      </w:pPr>
      <w:r>
        <w:rPr>
          <w:rFonts w:ascii="Courier New" w:cs="Courier New" w:eastAsia="Courier New" w:hAnsi="Courier New"/>
          <w:color w:val="001E64"/>
          <w:sz w:val="18"/>
          <w:szCs w:val="18"/>
        </w:rPr>
        <w:t xml:space="preserve">              if i&lt;=K and (n-i)&lt;=(N-K))</w:t>
      </w:r>
    </w:p>
    <w:p>
      <w:pPr>
        <w:shd w:fill="F0F2FA" w:val="clear"/>
        <w:spacing w:after="0" w:before="0"/>
        <w:ind w:left="360" w:right="200"/>
      </w:pPr>
      <w:r>
        <w:rPr>
          <w:rFonts w:ascii="Courier New" w:cs="Courier New" w:eastAsia="Courier New" w:hAnsi="Courier New"/>
          <w:color w:val="001E64"/>
          <w:sz w:val="18"/>
          <w:szCs w:val="18"/>
        </w:rPr>
        <w:t xml:space="preserve">    return total / comb(N, n)</w:t>
      </w:r>
    </w:p>
    <w:p>
      <w:pPr>
        <w:shd w:fill="F0F2FA" w:val="clear"/>
        <w:spacing w:after="0" w:before="0"/>
        <w:ind w:left="360" w:right="200"/>
      </w:pPr>
      <w:r>
        <w:rPr>
          <w:rFonts w:ascii="Courier New" w:cs="Courier New" w:eastAsia="Courier New" w:hAnsi="Courier New"/>
          <w:color w:val="001E64"/>
          <w:sz w:val="18"/>
          <w:szCs w:val="18"/>
        </w:rPr>
        <w:t xml:space="preserve"/>
      </w:r>
    </w:p>
    <w:p>
      <w:pPr>
        <w:shd w:fill="F0F2FA" w:val="clear"/>
        <w:spacing w:after="0" w:before="0"/>
        <w:ind w:left="360" w:right="200"/>
      </w:pPr>
      <w:r>
        <w:rPr>
          <w:rFonts w:ascii="Courier New" w:cs="Courier New" w:eastAsia="Courier New" w:hAnsi="Courier New"/>
          <w:i/>
          <w:iCs/>
          <w:color w:val="6070A0"/>
          <w:sz w:val="18"/>
          <w:szCs w:val="18"/>
        </w:rPr>
        <w:t xml:space="preserve"># α/β schedule</w:t>
      </w:r>
    </w:p>
    <w:p>
      <w:pPr>
        <w:shd w:fill="F0F2FA" w:val="clear"/>
        <w:spacing w:after="0" w:before="0"/>
        <w:ind w:left="360" w:right="200"/>
      </w:pPr>
      <w:r>
        <w:rPr>
          <w:rFonts w:ascii="Courier New" w:cs="Courier New" w:eastAsia="Courier New" w:hAnsi="Courier New"/>
          <w:color w:val="001E64"/>
          <w:sz w:val="18"/>
          <w:szCs w:val="18"/>
        </w:rPr>
        <w:t xml:space="preserve">def get_ab(N):</w:t>
      </w:r>
    </w:p>
    <w:p>
      <w:pPr>
        <w:shd w:fill="F0F2FA" w:val="clear"/>
        <w:spacing w:after="0" w:before="0"/>
        <w:ind w:left="360" w:right="200"/>
      </w:pPr>
      <w:r>
        <w:rPr>
          <w:rFonts w:ascii="Courier New" w:cs="Courier New" w:eastAsia="Courier New" w:hAnsi="Courier New"/>
          <w:color w:val="001E64"/>
          <w:sz w:val="18"/>
          <w:szCs w:val="18"/>
        </w:rPr>
        <w:t xml:space="preserve">    for t, ab in [(100,.10),(200,.08),(500,.06),</w:t>
      </w:r>
    </w:p>
    <w:p>
      <w:pPr>
        <w:shd w:fill="F0F2FA" w:val="clear"/>
        <w:spacing w:after="0" w:before="0"/>
        <w:ind w:left="360" w:right="200"/>
      </w:pPr>
      <w:r>
        <w:rPr>
          <w:rFonts w:ascii="Courier New" w:cs="Courier New" w:eastAsia="Courier New" w:hAnsi="Courier New"/>
          <w:color w:val="001E64"/>
          <w:sz w:val="18"/>
          <w:szCs w:val="18"/>
        </w:rPr>
        <w:t xml:space="preserve">                  (1000,.05),(5000,.04),(10000,.03),(100000,.02)]:</w:t>
      </w:r>
    </w:p>
    <w:p>
      <w:pPr>
        <w:shd w:fill="F0F2FA" w:val="clear"/>
        <w:spacing w:after="0" w:before="0"/>
        <w:ind w:left="360" w:right="200"/>
      </w:pPr>
      <w:r>
        <w:rPr>
          <w:rFonts w:ascii="Courier New" w:cs="Courier New" w:eastAsia="Courier New" w:hAnsi="Courier New"/>
          <w:color w:val="001E64"/>
          <w:sz w:val="18"/>
          <w:szCs w:val="18"/>
        </w:rPr>
        <w:t xml:space="preserve">        if N &lt;= t: return ab, ab</w:t>
      </w:r>
    </w:p>
    <w:p>
      <w:pPr>
        <w:shd w:fill="F0F2FA" w:val="clear"/>
        <w:spacing w:after="0" w:before="0"/>
        <w:ind w:left="360" w:right="200"/>
      </w:pPr>
      <w:r>
        <w:rPr>
          <w:rFonts w:ascii="Courier New" w:cs="Courier New" w:eastAsia="Courier New" w:hAnsi="Courier New"/>
          <w:color w:val="001E64"/>
          <w:sz w:val="18"/>
          <w:szCs w:val="18"/>
        </w:rPr>
        <w:t xml:space="preserve">    return 0.01, 0.01</w:t>
      </w:r>
    </w:p>
    <w:p>
      <w:pPr>
        <w:shd w:fill="F0F2FA" w:val="clear"/>
        <w:spacing w:after="0" w:before="0"/>
        <w:ind w:left="360" w:right="200"/>
      </w:pPr>
      <w:r>
        <w:rPr>
          <w:rFonts w:ascii="Courier New" w:cs="Courier New" w:eastAsia="Courier New" w:hAnsi="Courier New"/>
          <w:color w:val="001E64"/>
          <w:sz w:val="18"/>
          <w:szCs w:val="18"/>
        </w:rPr>
        <w:t xml:space="preserve"/>
      </w:r>
    </w:p>
    <w:p>
      <w:pPr>
        <w:shd w:fill="F0F2FA" w:val="clear"/>
        <w:spacing w:after="0" w:before="0"/>
        <w:ind w:left="360" w:right="200"/>
      </w:pPr>
      <w:r>
        <w:rPr>
          <w:rFonts w:ascii="Courier New" w:cs="Courier New" w:eastAsia="Courier New" w:hAnsi="Courier New"/>
          <w:i/>
          <w:iCs/>
          <w:color w:val="6070A0"/>
          <w:sz w:val="18"/>
          <w:szCs w:val="18"/>
        </w:rPr>
        <w:t xml:space="preserve"># Proportional floor</w:t>
      </w:r>
    </w:p>
    <w:p>
      <w:pPr>
        <w:shd w:fill="F0F2FA" w:val="clear"/>
        <w:spacing w:after="0" w:before="0"/>
        <w:ind w:left="360" w:right="200"/>
      </w:pPr>
      <w:r>
        <w:rPr>
          <w:rFonts w:ascii="Courier New" w:cs="Courier New" w:eastAsia="Courier New" w:hAnsi="Courier New"/>
          <w:color w:val="001E64"/>
          <w:sz w:val="18"/>
          <w:szCs w:val="18"/>
        </w:rPr>
        <w:t xml:space="preserve">def prop_floor(N):</w:t>
      </w:r>
    </w:p>
    <w:p>
      <w:pPr>
        <w:shd w:fill="F0F2FA" w:val="clear"/>
        <w:spacing w:after="0" w:before="0"/>
        <w:ind w:left="360" w:right="200"/>
      </w:pPr>
      <w:r>
        <w:rPr>
          <w:rFonts w:ascii="Courier New" w:cs="Courier New" w:eastAsia="Courier New" w:hAnsi="Courier New"/>
          <w:color w:val="001E64"/>
          <w:sz w:val="18"/>
          <w:szCs w:val="18"/>
        </w:rPr>
        <w:t xml:space="preserve">    if N&lt;=500: return 0</w:t>
      </w:r>
    </w:p>
    <w:p>
      <w:pPr>
        <w:shd w:fill="F0F2FA" w:val="clear"/>
        <w:spacing w:after="0" w:before="0"/>
        <w:ind w:left="360" w:right="200"/>
      </w:pPr>
      <w:r>
        <w:rPr>
          <w:rFonts w:ascii="Courier New" w:cs="Courier New" w:eastAsia="Courier New" w:hAnsi="Courier New"/>
          <w:color w:val="001E64"/>
          <w:sz w:val="18"/>
          <w:szCs w:val="18"/>
        </w:rPr>
        <w:t xml:space="preserve">    elif N&lt;=10000: return ceil(0.05*N)</w:t>
      </w:r>
    </w:p>
    <w:p>
      <w:pPr>
        <w:shd w:fill="F0F2FA" w:val="clear"/>
        <w:spacing w:after="0" w:before="0"/>
        <w:ind w:left="360" w:right="200"/>
      </w:pPr>
      <w:r>
        <w:rPr>
          <w:rFonts w:ascii="Courier New" w:cs="Courier New" w:eastAsia="Courier New" w:hAnsi="Courier New"/>
          <w:color w:val="001E64"/>
          <w:sz w:val="18"/>
          <w:szCs w:val="18"/>
        </w:rPr>
        <w:t xml:space="preserve">    elif N&lt;=100000: return ceil(0.03*N)</w:t>
      </w:r>
    </w:p>
    <w:p>
      <w:pPr>
        <w:shd w:fill="F0F2FA" w:val="clear"/>
        <w:spacing w:after="0" w:before="0"/>
        <w:ind w:left="360" w:right="200"/>
      </w:pPr>
      <w:r>
        <w:rPr>
          <w:rFonts w:ascii="Courier New" w:cs="Courier New" w:eastAsia="Courier New" w:hAnsi="Courier New"/>
          <w:color w:val="001E64"/>
          <w:sz w:val="18"/>
          <w:szCs w:val="18"/>
        </w:rPr>
        <w:t xml:space="preserve">    return ceil(0.01*N)</w:t>
      </w:r>
    </w:p>
    <w:p>
      <w:pPr>
        <w:shd w:fill="F0F2FA" w:val="clear"/>
        <w:spacing w:after="0" w:before="0"/>
        <w:ind w:left="360" w:right="200"/>
      </w:pPr>
      <w:r>
        <w:rPr>
          <w:rFonts w:ascii="Courier New" w:cs="Courier New" w:eastAsia="Courier New" w:hAnsi="Courier New"/>
          <w:color w:val="001E64"/>
          <w:sz w:val="18"/>
          <w:szCs w:val="18"/>
        </w:rPr>
        <w:t xml:space="preserve"/>
      </w:r>
    </w:p>
    <w:p>
      <w:pPr>
        <w:shd w:fill="F0F2FA" w:val="clear"/>
        <w:spacing w:after="0" w:before="0"/>
        <w:ind w:left="360" w:right="200"/>
      </w:pPr>
      <w:r>
        <w:rPr>
          <w:rFonts w:ascii="Courier New" w:cs="Courier New" w:eastAsia="Courier New" w:hAnsi="Courier New"/>
          <w:i/>
          <w:iCs/>
          <w:color w:val="6070A0"/>
          <w:sz w:val="18"/>
          <w:szCs w:val="18"/>
        </w:rPr>
        <w:t xml:space="preserve"># Fee classification — always rounds UP</w:t>
      </w:r>
    </w:p>
    <w:p>
      <w:pPr>
        <w:shd w:fill="F0F2FA" w:val="clear"/>
        <w:spacing w:after="0" w:before="0"/>
        <w:ind w:left="360" w:right="200"/>
      </w:pPr>
      <w:r>
        <w:rPr>
          <w:rFonts w:ascii="Courier New" w:cs="Courier New" w:eastAsia="Courier New" w:hAnsi="Courier New"/>
          <w:color w:val="001E64"/>
          <w:sz w:val="18"/>
          <w:szCs w:val="18"/>
        </w:rPr>
        <w:t xml:space="preserve">def classify_fee(raw):</w:t>
      </w:r>
    </w:p>
    <w:p>
      <w:pPr>
        <w:shd w:fill="F0F2FA" w:val="clear"/>
        <w:spacing w:after="0" w:before="0"/>
        <w:ind w:left="360" w:right="200"/>
      </w:pPr>
      <w:r>
        <w:rPr>
          <w:rFonts w:ascii="Courier New" w:cs="Courier New" w:eastAsia="Courier New" w:hAnsi="Courier New"/>
          <w:color w:val="001E64"/>
          <w:sz w:val="18"/>
          <w:szCs w:val="18"/>
        </w:rPr>
        <w:t xml:space="preserve">    if raw &lt;= 500: return 500, 'Unclassified'</w:t>
      </w:r>
    </w:p>
    <w:p>
      <w:pPr>
        <w:shd w:fill="F0F2FA" w:val="clear"/>
        <w:spacing w:after="0" w:before="0"/>
        <w:ind w:left="360" w:right="200"/>
      </w:pPr>
      <w:r>
        <w:rPr>
          <w:rFonts w:ascii="Courier New" w:cs="Courier New" w:eastAsia="Courier New" w:hAnsi="Courier New"/>
          <w:color w:val="001E64"/>
          <w:sz w:val="18"/>
          <w:szCs w:val="18"/>
        </w:rPr>
        <w:t xml:space="preserve">    cls = ceil(raw / 1000)</w:t>
      </w:r>
    </w:p>
    <w:p>
      <w:pPr>
        <w:shd w:fill="F0F2FA" w:val="clear"/>
        <w:spacing w:after="0" w:before="0"/>
        <w:ind w:left="360" w:right="200"/>
      </w:pPr>
      <w:r>
        <w:rPr>
          <w:rFonts w:ascii="Courier New" w:cs="Courier New" w:eastAsia="Courier New" w:hAnsi="Courier New"/>
          <w:color w:val="001E64"/>
          <w:sz w:val="18"/>
          <w:szCs w:val="18"/>
        </w:rPr>
        <w:t xml:space="preserve">    return cls * 1000, f'Class {cls}'</w:t>
      </w:r>
    </w:p>
    <w:p>
      <w:pPr>
        <w:shd w:fill="F0F2FA" w:val="clear"/>
        <w:spacing w:after="0" w:before="0"/>
        <w:ind w:left="360" w:right="200"/>
      </w:pPr>
      <w:r>
        <w:rPr>
          <w:rFonts w:ascii="Courier New" w:cs="Courier New" w:eastAsia="Courier New" w:hAnsi="Courier New"/>
          <w:color w:val="001E64"/>
          <w:sz w:val="18"/>
          <w:szCs w:val="18"/>
        </w:rPr>
        <w:t xml:space="preserve"/>
      </w:r>
    </w:p>
    <w:p>
      <w:pPr>
        <w:shd w:fill="F0F2FA" w:val="clear"/>
        <w:spacing w:after="0" w:before="0"/>
        <w:ind w:left="360" w:right="200"/>
      </w:pPr>
      <w:r>
        <w:rPr>
          <w:rFonts w:ascii="Courier New" w:cs="Courier New" w:eastAsia="Courier New" w:hAnsi="Courier New"/>
          <w:i/>
          <w:iCs/>
          <w:color w:val="6070A0"/>
          <w:sz w:val="18"/>
          <w:szCs w:val="18"/>
        </w:rPr>
        <w:t xml:space="preserve"># Sampling plan search</w:t>
      </w:r>
    </w:p>
    <w:p>
      <w:pPr>
        <w:shd w:fill="F0F2FA" w:val="clear"/>
        <w:spacing w:after="0" w:before="0"/>
        <w:ind w:left="360" w:right="200"/>
      </w:pPr>
      <w:r>
        <w:rPr>
          <w:rFonts w:ascii="Courier New" w:cs="Courier New" w:eastAsia="Courier New" w:hAnsi="Courier New"/>
          <w:color w:val="001E64"/>
          <w:sz w:val="18"/>
          <w:szCs w:val="18"/>
        </w:rPr>
        <w:t xml:space="preserve">def find_plan(N, prior_n=0):</w:t>
      </w:r>
    </w:p>
    <w:p>
      <w:pPr>
        <w:shd w:fill="F0F2FA" w:val="clear"/>
        <w:spacing w:after="0" w:before="0"/>
        <w:ind w:left="360" w:right="200"/>
      </w:pPr>
      <w:r>
        <w:rPr>
          <w:rFonts w:ascii="Courier New" w:cs="Courier New" w:eastAsia="Courier New" w:hAnsi="Courier New"/>
          <w:color w:val="001E64"/>
          <w:sz w:val="18"/>
          <w:szCs w:val="18"/>
        </w:rPr>
        <w:t xml:space="preserve">    a, b = get_ab(N)</w:t>
      </w:r>
    </w:p>
    <w:p>
      <w:pPr>
        <w:shd w:fill="F0F2FA" w:val="clear"/>
        <w:spacing w:after="0" w:before="0"/>
        <w:ind w:left="360" w:right="200"/>
      </w:pPr>
      <w:r>
        <w:rPr>
          <w:rFonts w:ascii="Courier New" w:cs="Courier New" w:eastAsia="Courier New" w:hAnsi="Courier New"/>
          <w:color w:val="001E64"/>
          <w:sz w:val="18"/>
          <w:szCs w:val="18"/>
        </w:rPr>
        <w:t xml:space="preserve">    D_good, D_bad = floor(0.10*N), ceil(0.30*N)</w:t>
      </w:r>
    </w:p>
    <w:p>
      <w:pPr>
        <w:shd w:fill="F0F2FA" w:val="clear"/>
        <w:spacing w:after="0" w:before="0"/>
        <w:ind w:left="360" w:right="200"/>
      </w:pPr>
      <w:r>
        <w:rPr>
          <w:rFonts w:ascii="Courier New" w:cs="Courier New" w:eastAsia="Courier New" w:hAnsi="Courier New"/>
          <w:color w:val="001E64"/>
          <w:sz w:val="18"/>
          <w:szCs w:val="18"/>
        </w:rPr>
        <w:t xml:space="preserve">    for n in range(2, N+1):</w:t>
      </w:r>
    </w:p>
    <w:p>
      <w:pPr>
        <w:shd w:fill="F0F2FA" w:val="clear"/>
        <w:spacing w:after="0" w:before="0"/>
        <w:ind w:left="360" w:right="200"/>
      </w:pPr>
      <w:r>
        <w:rPr>
          <w:rFonts w:ascii="Courier New" w:cs="Courier New" w:eastAsia="Courier New" w:hAnsi="Courier New"/>
          <w:color w:val="001E64"/>
          <w:sz w:val="18"/>
          <w:szCs w:val="18"/>
        </w:rPr>
        <w:t xml:space="preserve">        for c in range(0, n+1):</w:t>
      </w:r>
    </w:p>
    <w:p>
      <w:pPr>
        <w:shd w:fill="F0F2FA" w:val="clear"/>
        <w:spacing w:after="0" w:before="0"/>
        <w:ind w:left="360" w:right="200"/>
      </w:pPr>
      <w:r>
        <w:rPr>
          <w:rFonts w:ascii="Courier New" w:cs="Courier New" w:eastAsia="Courier New" w:hAnsi="Courier New"/>
          <w:color w:val="001E64"/>
          <w:sz w:val="18"/>
          <w:szCs w:val="18"/>
        </w:rPr>
        <w:t xml:space="preserve">            if (hyper_cdf(c,N,D_good,n) &gt;= 1-a and</w:t>
      </w:r>
    </w:p>
    <w:p>
      <w:pPr>
        <w:shd w:fill="F0F2FA" w:val="clear"/>
        <w:spacing w:after="0" w:before="0"/>
        <w:ind w:left="360" w:right="200"/>
      </w:pPr>
      <w:r>
        <w:rPr>
          <w:rFonts w:ascii="Courier New" w:cs="Courier New" w:eastAsia="Courier New" w:hAnsi="Courier New"/>
          <w:color w:val="001E64"/>
          <w:sz w:val="18"/>
          <w:szCs w:val="18"/>
        </w:rPr>
        <w:t xml:space="preserve">                hyper_cdf(c,N,D_bad, n) &lt;= b):</w:t>
      </w:r>
    </w:p>
    <w:p>
      <w:pPr>
        <w:shd w:fill="F0F2FA" w:val="clear"/>
        <w:spacing w:after="0" w:before="0"/>
        <w:ind w:left="360" w:right="200"/>
      </w:pPr>
      <w:r>
        <w:rPr>
          <w:rFonts w:ascii="Courier New" w:cs="Courier New" w:eastAsia="Courier New" w:hAnsi="Courier New"/>
          <w:color w:val="001E64"/>
          <w:sz w:val="18"/>
          <w:szCs w:val="18"/>
        </w:rPr>
        <w:t xml:space="preserve">                n_final = max(n, prop_floor(N), prior_n)</w:t>
      </w:r>
    </w:p>
    <w:p>
      <w:pPr>
        <w:shd w:fill="F0F2FA" w:val="clear"/>
        <w:spacing w:after="0" w:before="0"/>
        <w:ind w:left="360" w:right="200"/>
      </w:pPr>
      <w:r>
        <w:rPr>
          <w:rFonts w:ascii="Courier New" w:cs="Courier New" w:eastAsia="Courier New" w:hAnsi="Courier New"/>
          <w:color w:val="001E64"/>
          <w:sz w:val="18"/>
          <w:szCs w:val="18"/>
        </w:rPr>
        <w:t xml:space="preserve">                if n_final == n: return n_final, c</w:t>
      </w:r>
    </w:p>
    <w:p>
      <w:pPr>
        <w:shd w:fill="F0F2FA" w:val="clear"/>
        <w:spacing w:after="0" w:before="0"/>
        <w:ind w:left="360" w:right="200"/>
      </w:pPr>
      <w:r>
        <w:rPr>
          <w:rFonts w:ascii="Courier New" w:cs="Courier New" w:eastAsia="Courier New" w:hAnsi="Courier New"/>
          <w:i/>
          <w:iCs/>
          <w:color w:val="6070A0"/>
          <w:sz w:val="18"/>
          <w:szCs w:val="18"/>
        </w:rPr>
        <w:t xml:space="preserve">                # Recompute c for elevated n</w:t>
      </w:r>
    </w:p>
    <w:p>
      <w:pPr>
        <w:shd w:fill="F0F2FA" w:val="clear"/>
        <w:spacing w:after="0" w:before="0"/>
        <w:ind w:left="360" w:right="200"/>
      </w:pPr>
      <w:r>
        <w:rPr>
          <w:rFonts w:ascii="Courier New" w:cs="Courier New" w:eastAsia="Courier New" w:hAnsi="Courier New"/>
          <w:color w:val="001E64"/>
          <w:sz w:val="18"/>
          <w:szCs w:val="18"/>
        </w:rPr>
        <w:t xml:space="preserve">                for c2 in range(0, n_final+1):</w:t>
      </w:r>
    </w:p>
    <w:p>
      <w:pPr>
        <w:shd w:fill="F0F2FA" w:val="clear"/>
        <w:spacing w:after="0" w:before="0"/>
        <w:ind w:left="360" w:right="200"/>
      </w:pPr>
      <w:r>
        <w:rPr>
          <w:rFonts w:ascii="Courier New" w:cs="Courier New" w:eastAsia="Courier New" w:hAnsi="Courier New"/>
          <w:color w:val="001E64"/>
          <w:sz w:val="18"/>
          <w:szCs w:val="18"/>
        </w:rPr>
        <w:t xml:space="preserve">                    if (hyper_cdf(c2,N,D_good,n_final) &gt;= 1-a and</w:t>
      </w:r>
    </w:p>
    <w:p>
      <w:pPr>
        <w:shd w:fill="F0F2FA" w:val="clear"/>
        <w:spacing w:after="0" w:before="0"/>
        <w:ind w:left="360" w:right="200"/>
      </w:pPr>
      <w:r>
        <w:rPr>
          <w:rFonts w:ascii="Courier New" w:cs="Courier New" w:eastAsia="Courier New" w:hAnsi="Courier New"/>
          <w:color w:val="001E64"/>
          <w:sz w:val="18"/>
          <w:szCs w:val="18"/>
        </w:rPr>
        <w:t xml:space="preserve">                        hyper_cdf(c2,N,D_bad, n_final) &lt;= b):</w:t>
      </w:r>
    </w:p>
    <w:p>
      <w:pPr>
        <w:shd w:fill="F0F2FA" w:val="clear"/>
        <w:spacing w:after="0" w:before="0"/>
        <w:ind w:left="360" w:right="200"/>
      </w:pPr>
      <w:r>
        <w:rPr>
          <w:rFonts w:ascii="Courier New" w:cs="Courier New" w:eastAsia="Courier New" w:hAnsi="Courier New"/>
          <w:color w:val="001E64"/>
          <w:sz w:val="18"/>
          <w:szCs w:val="18"/>
        </w:rPr>
        <w:t xml:space="preserve">                            return n_final, c2</w:t>
      </w:r>
    </w:p>
    <w:p>
      <w:pPr>
        <w:shd w:fill="F0F2FA" w:val="clear"/>
        <w:spacing w:after="0" w:before="0"/>
        <w:ind w:left="360" w:right="200"/>
      </w:pPr>
      <w:r>
        <w:rPr>
          <w:rFonts w:ascii="Courier New" w:cs="Courier New" w:eastAsia="Courier New" w:hAnsi="Courier New"/>
          <w:color w:val="001E64"/>
          <w:sz w:val="18"/>
          <w:szCs w:val="18"/>
        </w:rPr>
        <w:t xml:space="preserve">    raise ValueError(f'No plan found for N={N}')</w:t>
      </w:r>
    </w:p>
    <w:p>
      <w:pPr>
        <w:pBdr>
          <w:bottom w:val="single" w:color="0057FF" w:sz="2" w:space="1"/>
        </w:pBdr>
        <w:shd w:fill="F0F2FA" w:val="clear"/>
        <w:spacing w:after="120" w:before="0"/>
        <w:ind w:left="360"/>
      </w:pPr>
    </w:p>
    <w:p>
      <w:pPr>
        <w:spacing w:after="80" w:before="200"/>
      </w:pPr>
    </w:p>
    <w:p>
      <w:pPr>
        <w:shd w:fill="EEF2FF" w:val="clear"/>
        <w:spacing w:after="40" w:before="80"/>
        <w:jc w:val="center"/>
      </w:pPr>
      <w:r>
        <w:rPr>
          <w:rFonts w:ascii="Courier New" w:cs="Courier New" w:eastAsia="Courier New" w:hAnsi="Courier New"/>
          <w:color w:val="6070A0"/>
          <w:sz w:val="17"/>
          <w:szCs w:val="17"/>
        </w:rPr>
        <w:t xml:space="preserve">IBT-SPEC-v2.0  ·  ANSI/ASQ Z1.4  ·  Cochran (1977)  ·  Monte Carlo &amp; OC Validated  ·  March 2026  ·  info@bureauoftrust.org</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5DDEE" w:sz="3" w:space="1"/>
      </w:pBdr>
    </w:pPr>
    <w:r>
      <w:rPr>
        <w:rFonts w:ascii="Calibri" w:cs="Calibri" w:eastAsia="Calibri" w:hAnsi="Calibri"/>
        <w:color w:val="6070A0"/>
        <w:sz w:val="16"/>
        <w:szCs w:val="16"/>
      </w:rPr>
      <w:t xml:space="preserve">IBT-SPEC-v2.0  ·  International Bureau of Trust  ·  Page </w:t>
    </w:r>
    <w:r>
      <w:rPr>
        <w:rFonts w:ascii="Calibri" w:cs="Calibri" w:eastAsia="Calibri" w:hAnsi="Calibri"/>
        <w:color w:val="6070A0"/>
        <w:sz w:val="16"/>
        <w:szCs w:val="16"/>
      </w:rPr>
      <w:fldChar w:fldCharType="begin"/>
      <w:instrText xml:space="preserve">PAGE</w:instrText>
      <w:fldChar w:fldCharType="separate"/>
      <w:fldChar w:fldCharType="end"/>
    </w:r>
    <w:r>
      <w:rPr>
        <w:rFonts w:ascii="Calibri" w:cs="Calibri" w:eastAsia="Calibri" w:hAnsi="Calibri"/>
        <w:color w:val="6070A0"/>
        <w:sz w:val="16"/>
        <w:szCs w:val="16"/>
      </w:rPr>
      <w:t xml:space="preserve">  ·  info@bureauoftrust.org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57FF" w:sz="3" w:space="1"/>
      </w:pBdr>
    </w:pPr>
    <w:r>
      <w:rPr>
        <w:rFonts w:ascii="Garamond" w:cs="Garamond" w:eastAsia="Garamond" w:hAnsi="Garamond"/>
        <w:b w:val="false"/>
        <w:bCs w:val="false"/>
        <w:color w:val="001E64"/>
        <w:sz w:val="18"/>
        <w:szCs w:val="18"/>
      </w:rPr>
      <w:t xml:space="preserve">IBT</w:t>
    </w:r>
    <w:r>
      <w:rPr>
        <w:rFonts w:ascii="Calibri" w:cs="Calibri" w:eastAsia="Calibri" w:hAnsi="Calibri"/>
        <w:color w:val="6070A0"/>
        <w:sz w:val="16"/>
        <w:szCs w:val="16"/>
      </w:rPr>
      <w:t xml:space="preserve">  ·  International Bureau of Trust  ·  IBT-SPEC-v2.0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Calibri" w:cs="Calibri" w:eastAsia="Calibri" w:hAnsi="Calibri"/>
        <w:color w:val="0057FF"/>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A4070"/>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0" w:before="360"/>
      <w:outlineLvl w:val="0"/>
    </w:pPr>
    <w:rPr>
      <w:rFonts w:ascii="Calibri" w:cs="Calibri" w:eastAsia="Calibri" w:hAnsi="Calibri"/>
      <w:b/>
      <w:bCs/>
      <w:color w:val="001E64"/>
      <w:sz w:val="28"/>
      <w:szCs w:val="28"/>
    </w:rPr>
  </w:style>
  <w:style w:type="paragraph" w:styleId="Heading2">
    <w:name w:val="Heading 2"/>
    <w:basedOn w:val="Normal"/>
    <w:next w:val="Normal"/>
    <w:pPr>
      <w:spacing w:after="80" w:before="280"/>
      <w:outlineLvl w:val="1"/>
    </w:pPr>
    <w:rPr>
      <w:rFonts w:ascii="Calibri" w:cs="Calibri" w:eastAsia="Calibri" w:hAnsi="Calibri"/>
      <w:b/>
      <w:bCs/>
      <w:color w:val="0057F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458ebabb092ce03de70a16fb27dd708305fad086.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2026-03-12T09:18:48.546Z</dcterms:created>
  <dcterms:modified xsi:type="dcterms:W3CDTF">2026-03-12T09:18:48.548Z</dcterms:modified>
</cp:coreProperties>
</file>

<file path=docProps/custom.xml><?xml version="1.0" encoding="utf-8"?>
<Properties xmlns="http://schemas.openxmlformats.org/officeDocument/2006/custom-properties" xmlns:vt="http://schemas.openxmlformats.org/officeDocument/2006/docPropsVTypes"/>
</file>